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D9D8" w14:textId="07DD2D02" w:rsidR="00FB7291" w:rsidRPr="009E3A3F" w:rsidRDefault="00FB7291" w:rsidP="00902978">
      <w:pPr>
        <w:ind w:right="425" w:firstLine="142"/>
        <w:jc w:val="both"/>
        <w:rPr>
          <w:rFonts w:ascii="Arial" w:hAnsi="Arial" w:cs="Arial"/>
          <w:b/>
          <w:bCs/>
          <w:color w:val="000000" w:themeColor="text1"/>
        </w:rPr>
      </w:pPr>
      <w:r w:rsidRPr="009E3A3F">
        <w:rPr>
          <w:rFonts w:ascii="Arial" w:hAnsi="Arial" w:cs="Arial"/>
          <w:b/>
          <w:bCs/>
          <w:color w:val="000000" w:themeColor="text1"/>
        </w:rPr>
        <w:t>LEI</w:t>
      </w:r>
      <w:r w:rsidR="00B779EF" w:rsidRPr="009E3A3F">
        <w:rPr>
          <w:rFonts w:ascii="Arial" w:hAnsi="Arial" w:cs="Arial"/>
          <w:b/>
          <w:bCs/>
          <w:color w:val="000000" w:themeColor="text1"/>
        </w:rPr>
        <w:t xml:space="preserve"> COMPLEMENTAR</w:t>
      </w:r>
      <w:r w:rsidRPr="009E3A3F">
        <w:rPr>
          <w:rFonts w:ascii="Arial" w:hAnsi="Arial" w:cs="Arial"/>
          <w:b/>
          <w:bCs/>
          <w:color w:val="000000" w:themeColor="text1"/>
        </w:rPr>
        <w:t xml:space="preserve"> N° </w:t>
      </w:r>
      <w:r w:rsidR="0014249B" w:rsidRPr="009E3A3F">
        <w:rPr>
          <w:rFonts w:ascii="Arial" w:hAnsi="Arial" w:cs="Arial"/>
          <w:b/>
          <w:bCs/>
          <w:color w:val="000000" w:themeColor="text1"/>
        </w:rPr>
        <w:t>2</w:t>
      </w:r>
      <w:r w:rsidR="009E3A3F" w:rsidRPr="009E3A3F">
        <w:rPr>
          <w:rFonts w:ascii="Arial" w:hAnsi="Arial" w:cs="Arial"/>
          <w:b/>
          <w:bCs/>
          <w:color w:val="000000" w:themeColor="text1"/>
        </w:rPr>
        <w:t>10</w:t>
      </w:r>
      <w:r w:rsidRPr="009E3A3F">
        <w:rPr>
          <w:rFonts w:ascii="Arial" w:hAnsi="Arial" w:cs="Arial"/>
          <w:b/>
          <w:bCs/>
          <w:color w:val="000000" w:themeColor="text1"/>
        </w:rPr>
        <w:t>/20</w:t>
      </w:r>
      <w:r w:rsidR="00612CFA" w:rsidRPr="009E3A3F">
        <w:rPr>
          <w:rFonts w:ascii="Arial" w:hAnsi="Arial" w:cs="Arial"/>
          <w:b/>
          <w:bCs/>
          <w:color w:val="000000" w:themeColor="text1"/>
        </w:rPr>
        <w:t>2</w:t>
      </w:r>
      <w:r w:rsidR="00E34CCF" w:rsidRPr="009E3A3F">
        <w:rPr>
          <w:rFonts w:ascii="Arial" w:hAnsi="Arial" w:cs="Arial"/>
          <w:b/>
          <w:bCs/>
          <w:color w:val="000000" w:themeColor="text1"/>
        </w:rPr>
        <w:t>4</w:t>
      </w:r>
      <w:r w:rsidRPr="009E3A3F">
        <w:rPr>
          <w:rFonts w:ascii="Arial" w:hAnsi="Arial" w:cs="Arial"/>
          <w:b/>
          <w:bCs/>
          <w:color w:val="000000" w:themeColor="text1"/>
        </w:rPr>
        <w:t xml:space="preserve">, </w:t>
      </w:r>
      <w:r w:rsidRPr="009E3A3F">
        <w:rPr>
          <w:rFonts w:ascii="Arial" w:hAnsi="Arial" w:cs="Arial"/>
          <w:color w:val="000000" w:themeColor="text1"/>
        </w:rPr>
        <w:t xml:space="preserve">de </w:t>
      </w:r>
      <w:r w:rsidR="009E3A3F" w:rsidRPr="009E3A3F">
        <w:rPr>
          <w:rFonts w:ascii="Arial" w:hAnsi="Arial" w:cs="Arial"/>
          <w:color w:val="000000" w:themeColor="text1"/>
        </w:rPr>
        <w:t>26</w:t>
      </w:r>
      <w:r w:rsidR="004218B5" w:rsidRPr="009E3A3F">
        <w:rPr>
          <w:rFonts w:ascii="Arial" w:hAnsi="Arial" w:cs="Arial"/>
          <w:color w:val="000000" w:themeColor="text1"/>
        </w:rPr>
        <w:t xml:space="preserve"> </w:t>
      </w:r>
      <w:r w:rsidRPr="009E3A3F">
        <w:rPr>
          <w:rFonts w:ascii="Arial" w:hAnsi="Arial" w:cs="Arial"/>
          <w:color w:val="000000" w:themeColor="text1"/>
        </w:rPr>
        <w:t>de</w:t>
      </w:r>
      <w:r w:rsidR="008C2831" w:rsidRPr="009E3A3F">
        <w:rPr>
          <w:rFonts w:ascii="Arial" w:hAnsi="Arial" w:cs="Arial"/>
          <w:color w:val="000000" w:themeColor="text1"/>
        </w:rPr>
        <w:t xml:space="preserve"> </w:t>
      </w:r>
      <w:r w:rsidR="00E34CCF" w:rsidRPr="009E3A3F">
        <w:rPr>
          <w:rFonts w:ascii="Arial" w:hAnsi="Arial" w:cs="Arial"/>
          <w:color w:val="000000" w:themeColor="text1"/>
        </w:rPr>
        <w:t>março</w:t>
      </w:r>
      <w:r w:rsidR="00BF507A" w:rsidRPr="009E3A3F">
        <w:rPr>
          <w:rFonts w:ascii="Arial" w:hAnsi="Arial" w:cs="Arial"/>
          <w:color w:val="000000" w:themeColor="text1"/>
        </w:rPr>
        <w:t xml:space="preserve"> </w:t>
      </w:r>
      <w:r w:rsidRPr="009E3A3F">
        <w:rPr>
          <w:rFonts w:ascii="Arial" w:hAnsi="Arial" w:cs="Arial"/>
          <w:color w:val="000000" w:themeColor="text1"/>
        </w:rPr>
        <w:t>de 20</w:t>
      </w:r>
      <w:r w:rsidR="00612CFA" w:rsidRPr="009E3A3F">
        <w:rPr>
          <w:rFonts w:ascii="Arial" w:hAnsi="Arial" w:cs="Arial"/>
          <w:color w:val="000000" w:themeColor="text1"/>
        </w:rPr>
        <w:t>2</w:t>
      </w:r>
      <w:r w:rsidR="00E34CCF" w:rsidRPr="009E3A3F">
        <w:rPr>
          <w:rFonts w:ascii="Arial" w:hAnsi="Arial" w:cs="Arial"/>
          <w:color w:val="000000" w:themeColor="text1"/>
        </w:rPr>
        <w:t>4</w:t>
      </w:r>
      <w:r w:rsidRPr="009E3A3F">
        <w:rPr>
          <w:rFonts w:ascii="Arial" w:hAnsi="Arial" w:cs="Arial"/>
          <w:color w:val="000000" w:themeColor="text1"/>
        </w:rPr>
        <w:t>.</w:t>
      </w:r>
    </w:p>
    <w:p w14:paraId="64431A75" w14:textId="77777777" w:rsidR="00E13791" w:rsidRPr="009E3A3F" w:rsidRDefault="00E13791" w:rsidP="009E3A3F">
      <w:pPr>
        <w:jc w:val="both"/>
        <w:rPr>
          <w:rFonts w:ascii="Arial" w:hAnsi="Arial" w:cs="Arial"/>
          <w:b/>
          <w:bCs/>
        </w:rPr>
      </w:pPr>
    </w:p>
    <w:p w14:paraId="2B883E3E" w14:textId="77777777" w:rsidR="009E3A3F" w:rsidRDefault="009E3A3F" w:rsidP="009E3A3F">
      <w:pPr>
        <w:ind w:left="2268"/>
        <w:jc w:val="both"/>
        <w:rPr>
          <w:rFonts w:ascii="Arial" w:hAnsi="Arial" w:cs="Arial"/>
          <w:b/>
          <w:bCs/>
        </w:rPr>
      </w:pPr>
    </w:p>
    <w:p w14:paraId="67DFA3DA" w14:textId="3B223CEE" w:rsidR="009E3A3F" w:rsidRPr="009E3A3F" w:rsidRDefault="009E3A3F" w:rsidP="009E3A3F">
      <w:pPr>
        <w:ind w:left="2268"/>
        <w:jc w:val="both"/>
        <w:rPr>
          <w:rFonts w:ascii="Arial" w:hAnsi="Arial" w:cs="Arial"/>
          <w:b/>
          <w:bCs/>
        </w:rPr>
      </w:pPr>
      <w:r w:rsidRPr="009E3A3F">
        <w:rPr>
          <w:rFonts w:ascii="Arial" w:hAnsi="Arial" w:cs="Arial"/>
          <w:b/>
          <w:bCs/>
        </w:rPr>
        <w:t>ALTERA ARTIGOS E ANEXOS DA LEI COMPLEMENTAR N° 110/2013, DE 20 DE DEZEMBRO DE 2013, QUE INSTITUI A LEI DE PARCELAMENTO, USO E OCUPAÇÃO DO SOLO DO MUNICÍPIO DE PRESIDENTE CASTELLO BRANCO.</w:t>
      </w:r>
    </w:p>
    <w:p w14:paraId="04305CB2" w14:textId="77777777" w:rsidR="00E13791" w:rsidRPr="009E3A3F" w:rsidRDefault="00E13791" w:rsidP="00902978">
      <w:pPr>
        <w:ind w:left="2268" w:right="425" w:firstLine="142"/>
        <w:jc w:val="both"/>
        <w:rPr>
          <w:rFonts w:ascii="Arial" w:hAnsi="Arial" w:cs="Arial"/>
          <w:b/>
          <w:bCs/>
          <w:color w:val="000000" w:themeColor="text1"/>
        </w:rPr>
      </w:pPr>
    </w:p>
    <w:p w14:paraId="414DC2AE" w14:textId="77777777" w:rsidR="009E3A3F" w:rsidRDefault="009E3A3F" w:rsidP="00E34CCF">
      <w:pPr>
        <w:ind w:left="2268"/>
        <w:jc w:val="both"/>
        <w:rPr>
          <w:rFonts w:ascii="Arial" w:hAnsi="Arial" w:cs="Arial"/>
          <w:b/>
          <w:bCs/>
          <w:color w:val="000000" w:themeColor="text1"/>
        </w:rPr>
      </w:pPr>
    </w:p>
    <w:p w14:paraId="34B1FDCF" w14:textId="24C8AAD0" w:rsidR="0014249B" w:rsidRPr="009E3A3F" w:rsidRDefault="0014249B" w:rsidP="00E34CCF">
      <w:pPr>
        <w:ind w:left="2268"/>
        <w:jc w:val="both"/>
        <w:rPr>
          <w:rFonts w:ascii="Arial" w:hAnsi="Arial" w:cs="Arial"/>
          <w:b/>
          <w:bCs/>
          <w:color w:val="000000" w:themeColor="text1"/>
        </w:rPr>
      </w:pPr>
      <w:r w:rsidRPr="009E3A3F">
        <w:rPr>
          <w:rFonts w:ascii="Arial" w:hAnsi="Arial" w:cs="Arial"/>
          <w:b/>
          <w:bCs/>
          <w:color w:val="000000" w:themeColor="text1"/>
        </w:rPr>
        <w:t xml:space="preserve">Neiva </w:t>
      </w:r>
      <w:proofErr w:type="spellStart"/>
      <w:r w:rsidRPr="009E3A3F">
        <w:rPr>
          <w:rFonts w:ascii="Arial" w:hAnsi="Arial" w:cs="Arial"/>
          <w:b/>
          <w:bCs/>
          <w:color w:val="000000" w:themeColor="text1"/>
        </w:rPr>
        <w:t>Kleemann</w:t>
      </w:r>
      <w:proofErr w:type="spellEnd"/>
      <w:r w:rsidRPr="009E3A3F">
        <w:rPr>
          <w:rFonts w:ascii="Arial" w:hAnsi="Arial" w:cs="Arial"/>
          <w:b/>
          <w:bCs/>
          <w:color w:val="000000" w:themeColor="text1"/>
        </w:rPr>
        <w:t xml:space="preserve"> </w:t>
      </w:r>
      <w:proofErr w:type="spellStart"/>
      <w:r w:rsidRPr="009E3A3F">
        <w:rPr>
          <w:rFonts w:ascii="Arial" w:hAnsi="Arial" w:cs="Arial"/>
          <w:b/>
          <w:bCs/>
          <w:color w:val="000000" w:themeColor="text1"/>
        </w:rPr>
        <w:t>Tonielo</w:t>
      </w:r>
      <w:proofErr w:type="spellEnd"/>
      <w:r w:rsidRPr="009E3A3F">
        <w:rPr>
          <w:rFonts w:ascii="Arial" w:hAnsi="Arial" w:cs="Arial"/>
          <w:b/>
          <w:bCs/>
          <w:color w:val="000000" w:themeColor="text1"/>
        </w:rPr>
        <w:t>, Prefeita Municipal de Presidente Castello Branco, Estado de Santa Catarina, no uso de suas atribuições legais, faz saber que a Câmara Municipal de Vereadores aprovou e ela sanciona e promulga a seguinte</w:t>
      </w:r>
    </w:p>
    <w:p w14:paraId="17BE99D5" w14:textId="77777777" w:rsidR="00E34CCF" w:rsidRPr="009E3A3F" w:rsidRDefault="00E34CCF" w:rsidP="009E3A3F">
      <w:pPr>
        <w:ind w:right="425"/>
        <w:jc w:val="both"/>
        <w:rPr>
          <w:rFonts w:ascii="Arial" w:hAnsi="Arial" w:cs="Arial"/>
          <w:b/>
          <w:bCs/>
          <w:color w:val="000000" w:themeColor="text1"/>
        </w:rPr>
      </w:pPr>
    </w:p>
    <w:p w14:paraId="2DA218A2" w14:textId="77777777" w:rsidR="009E3A3F" w:rsidRDefault="009E3A3F" w:rsidP="00E34CCF">
      <w:pPr>
        <w:ind w:left="2268" w:right="425"/>
        <w:jc w:val="both"/>
        <w:rPr>
          <w:rFonts w:ascii="Arial" w:hAnsi="Arial" w:cs="Arial"/>
          <w:b/>
          <w:bCs/>
          <w:color w:val="000000" w:themeColor="text1"/>
        </w:rPr>
      </w:pPr>
    </w:p>
    <w:p w14:paraId="08BD8C81" w14:textId="5F32743C" w:rsidR="0014249B" w:rsidRPr="009E3A3F" w:rsidRDefault="0014249B" w:rsidP="00E34CCF">
      <w:pPr>
        <w:ind w:left="2268" w:right="425"/>
        <w:jc w:val="both"/>
        <w:rPr>
          <w:rFonts w:ascii="Arial" w:hAnsi="Arial" w:cs="Arial"/>
          <w:b/>
          <w:bCs/>
          <w:color w:val="000000" w:themeColor="text1"/>
        </w:rPr>
      </w:pPr>
      <w:r w:rsidRPr="009E3A3F">
        <w:rPr>
          <w:rFonts w:ascii="Arial" w:hAnsi="Arial" w:cs="Arial"/>
          <w:b/>
          <w:bCs/>
          <w:color w:val="000000" w:themeColor="text1"/>
        </w:rPr>
        <w:t>LEI COMPLEMENTAR.</w:t>
      </w:r>
    </w:p>
    <w:p w14:paraId="368B77DC" w14:textId="77777777" w:rsidR="00E13791" w:rsidRPr="009E3A3F" w:rsidRDefault="00E13791" w:rsidP="009E3A3F">
      <w:pPr>
        <w:pStyle w:val="Recuodecorpodetexto"/>
        <w:spacing w:line="360" w:lineRule="auto"/>
        <w:ind w:left="0"/>
        <w:rPr>
          <w:rFonts w:ascii="Arial" w:hAnsi="Arial" w:cs="Arial"/>
          <w:bCs w:val="0"/>
        </w:rPr>
      </w:pPr>
    </w:p>
    <w:p w14:paraId="71CBF9C9" w14:textId="77777777" w:rsidR="009E3A3F" w:rsidRPr="009E3A3F" w:rsidRDefault="009E3A3F" w:rsidP="009E3A3F">
      <w:pPr>
        <w:pStyle w:val="Parcelamento1"/>
        <w:rPr>
          <w:rFonts w:cs="Arial"/>
          <w:szCs w:val="24"/>
        </w:rPr>
      </w:pPr>
      <w:bookmarkStart w:id="0" w:name="_Toc157630561"/>
      <w:r w:rsidRPr="009E3A3F">
        <w:rPr>
          <w:rFonts w:cs="Arial"/>
          <w:szCs w:val="24"/>
        </w:rPr>
        <w:t>TÍTULO I</w:t>
      </w:r>
      <w:bookmarkEnd w:id="0"/>
    </w:p>
    <w:p w14:paraId="393A8E14" w14:textId="77777777" w:rsidR="009E3A3F" w:rsidRPr="009E3A3F" w:rsidRDefault="009E3A3F" w:rsidP="009E3A3F">
      <w:pPr>
        <w:pStyle w:val="Parcelamento2"/>
        <w:rPr>
          <w:szCs w:val="24"/>
        </w:rPr>
      </w:pPr>
      <w:r w:rsidRPr="009E3A3F">
        <w:rPr>
          <w:szCs w:val="24"/>
        </w:rPr>
        <w:t xml:space="preserve"> </w:t>
      </w:r>
      <w:bookmarkStart w:id="1" w:name="_Toc321747639"/>
      <w:bookmarkStart w:id="2" w:name="_Toc157630562"/>
      <w:r w:rsidRPr="009E3A3F">
        <w:rPr>
          <w:szCs w:val="24"/>
        </w:rPr>
        <w:t>DO USO E DA OCUPAÇÃO DO SOLO</w:t>
      </w:r>
      <w:bookmarkEnd w:id="1"/>
      <w:bookmarkEnd w:id="2"/>
    </w:p>
    <w:p w14:paraId="16696B10" w14:textId="77777777" w:rsidR="009E3A3F" w:rsidRPr="009E3A3F" w:rsidRDefault="009E3A3F" w:rsidP="009E3A3F">
      <w:pPr>
        <w:pStyle w:val="Parcelamento3"/>
        <w:rPr>
          <w:rFonts w:cs="Arial"/>
        </w:rPr>
      </w:pPr>
      <w:bookmarkStart w:id="3" w:name="_Toc157630563"/>
      <w:r w:rsidRPr="009E3A3F">
        <w:rPr>
          <w:rFonts w:cs="Arial"/>
        </w:rPr>
        <w:t>CAPÍTULO II</w:t>
      </w:r>
      <w:bookmarkEnd w:id="3"/>
    </w:p>
    <w:p w14:paraId="653CF776" w14:textId="77777777" w:rsidR="009E3A3F" w:rsidRPr="009E3A3F" w:rsidRDefault="009E3A3F" w:rsidP="009E3A3F">
      <w:pPr>
        <w:pStyle w:val="Parcelamento4"/>
        <w:rPr>
          <w:rFonts w:cs="Arial"/>
        </w:rPr>
      </w:pPr>
      <w:bookmarkStart w:id="4" w:name="_Toc321747643"/>
      <w:bookmarkStart w:id="5" w:name="_Toc373311579"/>
      <w:bookmarkStart w:id="6" w:name="_Toc157630564"/>
      <w:r w:rsidRPr="009E3A3F">
        <w:rPr>
          <w:rFonts w:cs="Arial"/>
        </w:rPr>
        <w:t>DO ZONEAMENTO</w:t>
      </w:r>
      <w:bookmarkEnd w:id="4"/>
      <w:bookmarkEnd w:id="5"/>
      <w:bookmarkEnd w:id="6"/>
    </w:p>
    <w:p w14:paraId="6EEE61FA" w14:textId="77777777" w:rsidR="009E3A3F" w:rsidRPr="009E3A3F" w:rsidRDefault="009E3A3F" w:rsidP="009E3A3F">
      <w:pPr>
        <w:spacing w:line="360" w:lineRule="auto"/>
        <w:jc w:val="center"/>
        <w:rPr>
          <w:rFonts w:ascii="Arial" w:hAnsi="Arial" w:cs="Arial"/>
          <w:b/>
        </w:rPr>
      </w:pPr>
      <w:r w:rsidRPr="009E3A3F">
        <w:rPr>
          <w:rFonts w:ascii="Arial" w:hAnsi="Arial" w:cs="Arial"/>
          <w:b/>
        </w:rPr>
        <w:t>SEÇÃO I</w:t>
      </w:r>
    </w:p>
    <w:p w14:paraId="4A31942E" w14:textId="77777777" w:rsidR="009E3A3F" w:rsidRPr="009E3A3F" w:rsidRDefault="009E3A3F" w:rsidP="009E3A3F">
      <w:pPr>
        <w:spacing w:line="360" w:lineRule="auto"/>
        <w:jc w:val="center"/>
        <w:rPr>
          <w:rFonts w:ascii="Arial" w:hAnsi="Arial" w:cs="Arial"/>
          <w:b/>
        </w:rPr>
      </w:pPr>
      <w:r w:rsidRPr="009E3A3F">
        <w:rPr>
          <w:rFonts w:ascii="Arial" w:hAnsi="Arial" w:cs="Arial"/>
          <w:b/>
        </w:rPr>
        <w:t>DAS MACROZONAS</w:t>
      </w:r>
    </w:p>
    <w:p w14:paraId="6B0E72F6" w14:textId="77777777" w:rsidR="009E3A3F" w:rsidRPr="009E3A3F" w:rsidRDefault="009E3A3F" w:rsidP="009E3A3F">
      <w:pPr>
        <w:pStyle w:val="Recuodecorpodetexto"/>
        <w:spacing w:line="360" w:lineRule="auto"/>
        <w:rPr>
          <w:rFonts w:ascii="Arial" w:hAnsi="Arial" w:cs="Arial"/>
          <w:u w:val="single"/>
        </w:rPr>
      </w:pPr>
    </w:p>
    <w:p w14:paraId="245D47CC"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rPr>
        <w:t>Art. 1º.</w:t>
      </w:r>
      <w:r w:rsidRPr="009E3A3F">
        <w:rPr>
          <w:rFonts w:ascii="Arial" w:hAnsi="Arial" w:cs="Arial"/>
        </w:rPr>
        <w:t xml:space="preserve"> O Art. 6° da Lei Complementar nº 107/2013, de 20 de dezembro de 2013, na Macrozona Urbana é incluída mais uma zona, com a seguinte denominação:</w:t>
      </w:r>
    </w:p>
    <w:p w14:paraId="29981D79" w14:textId="77777777" w:rsidR="009E3A3F" w:rsidRPr="009E3A3F" w:rsidRDefault="009E3A3F" w:rsidP="009E3A3F">
      <w:pPr>
        <w:jc w:val="both"/>
        <w:rPr>
          <w:rFonts w:ascii="Arial" w:hAnsi="Arial" w:cs="Arial"/>
          <w:i/>
          <w:iCs/>
        </w:rPr>
      </w:pPr>
      <w:r w:rsidRPr="009E3A3F">
        <w:rPr>
          <w:rFonts w:ascii="Arial" w:hAnsi="Arial" w:cs="Arial"/>
          <w:i/>
          <w:iCs/>
        </w:rPr>
        <w:t>Art. 6°</w:t>
      </w:r>
    </w:p>
    <w:p w14:paraId="4BAF85EB" w14:textId="77777777" w:rsidR="009E3A3F" w:rsidRPr="009E3A3F" w:rsidRDefault="009E3A3F" w:rsidP="009E3A3F">
      <w:pPr>
        <w:jc w:val="both"/>
        <w:rPr>
          <w:rFonts w:ascii="Arial" w:hAnsi="Arial" w:cs="Arial"/>
          <w:i/>
          <w:iCs/>
        </w:rPr>
      </w:pPr>
      <w:r w:rsidRPr="009E3A3F">
        <w:rPr>
          <w:rFonts w:ascii="Arial" w:hAnsi="Arial" w:cs="Arial"/>
          <w:i/>
          <w:iCs/>
        </w:rPr>
        <w:t>(......)</w:t>
      </w:r>
    </w:p>
    <w:p w14:paraId="27B175D8" w14:textId="77777777" w:rsidR="009E3A3F" w:rsidRPr="009E3A3F" w:rsidRDefault="009E3A3F" w:rsidP="009E3A3F">
      <w:pPr>
        <w:jc w:val="both"/>
        <w:rPr>
          <w:rFonts w:ascii="Arial" w:hAnsi="Arial" w:cs="Arial"/>
          <w:i/>
          <w:iCs/>
        </w:rPr>
      </w:pPr>
      <w:r w:rsidRPr="009E3A3F">
        <w:rPr>
          <w:rFonts w:ascii="Arial" w:hAnsi="Arial" w:cs="Arial"/>
          <w:b/>
          <w:bCs/>
          <w:i/>
          <w:iCs/>
        </w:rPr>
        <w:t>ZMC I</w:t>
      </w:r>
      <w:r w:rsidRPr="009E3A3F">
        <w:rPr>
          <w:rFonts w:ascii="Arial" w:hAnsi="Arial" w:cs="Arial"/>
          <w:i/>
          <w:iCs/>
        </w:rPr>
        <w:t xml:space="preserve"> – Zona Mista Central I</w:t>
      </w:r>
    </w:p>
    <w:p w14:paraId="5E02A167" w14:textId="77777777" w:rsidR="009E3A3F" w:rsidRPr="009E3A3F" w:rsidRDefault="009E3A3F" w:rsidP="009E3A3F">
      <w:pPr>
        <w:spacing w:line="360" w:lineRule="auto"/>
        <w:jc w:val="both"/>
        <w:rPr>
          <w:rFonts w:ascii="Arial" w:hAnsi="Arial" w:cs="Arial"/>
          <w:b/>
        </w:rPr>
      </w:pPr>
    </w:p>
    <w:p w14:paraId="25F6E6A1"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rPr>
        <w:t>Art. 2º.</w:t>
      </w:r>
      <w:r w:rsidRPr="009E3A3F">
        <w:rPr>
          <w:rFonts w:ascii="Arial" w:hAnsi="Arial" w:cs="Arial"/>
        </w:rPr>
        <w:t xml:space="preserve"> Fica criado o Art. 7°A da Lei Complementar nº 107/2013, de 20 de dezembro de 2013 com a seguinte redação:</w:t>
      </w:r>
    </w:p>
    <w:p w14:paraId="0BFA6BC8" w14:textId="77777777" w:rsidR="009E3A3F" w:rsidRPr="009E3A3F" w:rsidRDefault="009E3A3F" w:rsidP="009E3A3F">
      <w:pPr>
        <w:jc w:val="both"/>
        <w:rPr>
          <w:rFonts w:ascii="Arial" w:hAnsi="Arial" w:cs="Arial"/>
          <w:i/>
          <w:iCs/>
        </w:rPr>
      </w:pPr>
      <w:r w:rsidRPr="009E3A3F">
        <w:rPr>
          <w:rFonts w:ascii="Arial" w:hAnsi="Arial" w:cs="Arial"/>
          <w:b/>
          <w:bCs/>
          <w:i/>
          <w:iCs/>
        </w:rPr>
        <w:t>Art. 7ºA.</w:t>
      </w:r>
      <w:r w:rsidRPr="009E3A3F">
        <w:rPr>
          <w:rFonts w:ascii="Arial" w:hAnsi="Arial" w:cs="Arial"/>
          <w:i/>
          <w:iCs/>
        </w:rPr>
        <w:t xml:space="preserve"> A </w:t>
      </w:r>
      <w:r w:rsidRPr="009E3A3F">
        <w:rPr>
          <w:rFonts w:ascii="Arial" w:hAnsi="Arial" w:cs="Arial"/>
          <w:b/>
          <w:bCs/>
          <w:i/>
          <w:iCs/>
        </w:rPr>
        <w:t xml:space="preserve">Zona Mista Central I </w:t>
      </w:r>
      <w:r w:rsidRPr="009E3A3F">
        <w:rPr>
          <w:rFonts w:ascii="Arial" w:hAnsi="Arial" w:cs="Arial"/>
          <w:i/>
          <w:iCs/>
        </w:rPr>
        <w:t>tem por objetivo incentivar a instalação de atividades comerciais e de prestação de serviços, como a ZMC – Zona Mista Central, sendo criada com recuos frontais menores, para viabilizar melhor utilização do lote devido a sua proximidade do rio.</w:t>
      </w:r>
    </w:p>
    <w:p w14:paraId="2105A176" w14:textId="77777777" w:rsidR="009E3A3F" w:rsidRPr="009E3A3F" w:rsidRDefault="009E3A3F" w:rsidP="009E3A3F">
      <w:pPr>
        <w:spacing w:line="360" w:lineRule="auto"/>
        <w:jc w:val="both"/>
        <w:rPr>
          <w:rFonts w:ascii="Arial" w:hAnsi="Arial" w:cs="Arial"/>
          <w:b/>
        </w:rPr>
      </w:pPr>
    </w:p>
    <w:p w14:paraId="7010027B"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rPr>
        <w:lastRenderedPageBreak/>
        <w:t>Art. 3º.</w:t>
      </w:r>
      <w:r w:rsidRPr="009E3A3F">
        <w:rPr>
          <w:rFonts w:ascii="Arial" w:hAnsi="Arial" w:cs="Arial"/>
        </w:rPr>
        <w:t xml:space="preserve"> Fica criado o Art. 11 da Lei Complementar nº 107/2013, de 20 de dezembro de 2013 com a seguinte redação:</w:t>
      </w:r>
    </w:p>
    <w:p w14:paraId="313C27FD" w14:textId="77777777" w:rsidR="009E3A3F" w:rsidRPr="009E3A3F" w:rsidRDefault="009E3A3F" w:rsidP="009E3A3F">
      <w:pPr>
        <w:jc w:val="both"/>
        <w:rPr>
          <w:rFonts w:ascii="Arial" w:hAnsi="Arial" w:cs="Arial"/>
          <w:i/>
          <w:iCs/>
        </w:rPr>
      </w:pPr>
      <w:r w:rsidRPr="009E3A3F">
        <w:rPr>
          <w:rFonts w:ascii="Arial" w:hAnsi="Arial" w:cs="Arial"/>
          <w:i/>
          <w:iCs/>
        </w:rPr>
        <w:t>Art. 11. Deverá obedecer a distância de 30,00m (trinta metros), estando seu uso totalmente proibidos nas áreas urbanas não consolidadas.</w:t>
      </w:r>
    </w:p>
    <w:p w14:paraId="6BD6DFC3" w14:textId="77777777" w:rsidR="009E3A3F" w:rsidRPr="009E3A3F" w:rsidRDefault="009E3A3F" w:rsidP="009E3A3F">
      <w:pPr>
        <w:jc w:val="both"/>
        <w:rPr>
          <w:rFonts w:ascii="Arial" w:hAnsi="Arial" w:cs="Arial"/>
          <w:bCs/>
          <w:i/>
          <w:iCs/>
        </w:rPr>
      </w:pPr>
      <w:r w:rsidRPr="009E3A3F">
        <w:rPr>
          <w:rFonts w:ascii="Arial" w:hAnsi="Arial" w:cs="Arial"/>
          <w:bCs/>
          <w:i/>
          <w:iCs/>
        </w:rPr>
        <w:t>§ 1º.(......)</w:t>
      </w:r>
    </w:p>
    <w:p w14:paraId="2D53274A" w14:textId="77777777" w:rsidR="009E3A3F" w:rsidRPr="009E3A3F" w:rsidRDefault="009E3A3F" w:rsidP="009E3A3F">
      <w:pPr>
        <w:jc w:val="both"/>
        <w:rPr>
          <w:rFonts w:ascii="Arial" w:hAnsi="Arial" w:cs="Arial"/>
          <w:i/>
          <w:iCs/>
        </w:rPr>
      </w:pPr>
      <w:r w:rsidRPr="009E3A3F">
        <w:rPr>
          <w:rFonts w:ascii="Arial" w:hAnsi="Arial" w:cs="Arial"/>
          <w:i/>
          <w:iCs/>
        </w:rPr>
        <w:t>I – Área Urbana Consolidada – Será definida sua metragem no Diagnóstico Socioambiental Municipal, passando a prevalecer, após sua aprovação.</w:t>
      </w:r>
    </w:p>
    <w:p w14:paraId="6A1707A4" w14:textId="77777777" w:rsidR="009E3A3F" w:rsidRPr="009E3A3F" w:rsidRDefault="009E3A3F" w:rsidP="009E3A3F">
      <w:pPr>
        <w:jc w:val="both"/>
        <w:rPr>
          <w:rFonts w:ascii="Arial" w:hAnsi="Arial" w:cs="Arial"/>
          <w:i/>
          <w:iCs/>
        </w:rPr>
      </w:pPr>
      <w:r w:rsidRPr="009E3A3F">
        <w:rPr>
          <w:rFonts w:ascii="Arial" w:hAnsi="Arial" w:cs="Arial"/>
          <w:i/>
          <w:iCs/>
        </w:rPr>
        <w:t>II - Área Urbana Não Consolidada – Será definida sua metragem no Diagnóstico Socioambiental Municipal, passando a prevalecer, após sua aprovação.</w:t>
      </w:r>
    </w:p>
    <w:p w14:paraId="108CFC8B" w14:textId="77777777" w:rsidR="009E3A3F" w:rsidRPr="009E3A3F" w:rsidRDefault="009E3A3F" w:rsidP="009E3A3F">
      <w:pPr>
        <w:jc w:val="both"/>
        <w:rPr>
          <w:rFonts w:ascii="Arial" w:hAnsi="Arial" w:cs="Arial"/>
          <w:bCs/>
          <w:i/>
          <w:iCs/>
        </w:rPr>
      </w:pPr>
      <w:r w:rsidRPr="009E3A3F">
        <w:rPr>
          <w:rFonts w:ascii="Arial" w:hAnsi="Arial" w:cs="Arial"/>
          <w:bCs/>
          <w:i/>
          <w:iCs/>
        </w:rPr>
        <w:t>§ 2º. As áreas consolidadas serão determinadas no Diagnóstico Socioambiental Municipal, passando a prevalecer, após sua aprovação.</w:t>
      </w:r>
    </w:p>
    <w:p w14:paraId="0BC10B6F" w14:textId="77777777" w:rsidR="009E3A3F" w:rsidRPr="009E3A3F" w:rsidRDefault="009E3A3F" w:rsidP="009E3A3F">
      <w:pPr>
        <w:spacing w:line="360" w:lineRule="auto"/>
        <w:jc w:val="both"/>
        <w:rPr>
          <w:rFonts w:ascii="Arial" w:hAnsi="Arial" w:cs="Arial"/>
          <w:b/>
        </w:rPr>
      </w:pPr>
    </w:p>
    <w:p w14:paraId="07E057E0"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rPr>
        <w:t>Art. 4º.</w:t>
      </w:r>
      <w:r w:rsidRPr="009E3A3F">
        <w:rPr>
          <w:rFonts w:ascii="Arial" w:hAnsi="Arial" w:cs="Arial"/>
        </w:rPr>
        <w:t xml:space="preserve"> Fica criado o Art. 12 com a seguinte redação:</w:t>
      </w:r>
    </w:p>
    <w:p w14:paraId="4497E8D8" w14:textId="77777777" w:rsidR="009E3A3F" w:rsidRPr="009E3A3F" w:rsidRDefault="009E3A3F" w:rsidP="009E3A3F">
      <w:pPr>
        <w:jc w:val="both"/>
        <w:rPr>
          <w:rFonts w:ascii="Arial" w:hAnsi="Arial" w:cs="Arial"/>
          <w:i/>
          <w:iCs/>
        </w:rPr>
      </w:pPr>
      <w:r w:rsidRPr="009E3A3F">
        <w:rPr>
          <w:rFonts w:ascii="Arial" w:hAnsi="Arial" w:cs="Arial"/>
          <w:i/>
          <w:iCs/>
        </w:rPr>
        <w:t>Art. 12. Deverá obedecer a uma distância de 30,00m (trinta metros), conforme Código Florestal, até a aprovação do determinado no Diagnóstico Socioambiental Municipal.</w:t>
      </w:r>
    </w:p>
    <w:p w14:paraId="12CC705A" w14:textId="77777777" w:rsidR="009E3A3F" w:rsidRPr="009E3A3F" w:rsidRDefault="009E3A3F" w:rsidP="009E3A3F">
      <w:pPr>
        <w:pStyle w:val="Parcelamento1"/>
        <w:rPr>
          <w:rFonts w:cs="Arial"/>
          <w:szCs w:val="24"/>
        </w:rPr>
      </w:pPr>
    </w:p>
    <w:p w14:paraId="47FEE3EB" w14:textId="5796E579" w:rsidR="009E3A3F" w:rsidRPr="009E3A3F" w:rsidRDefault="009E3A3F" w:rsidP="009E3A3F">
      <w:pPr>
        <w:pStyle w:val="Parcelamento1"/>
        <w:rPr>
          <w:rFonts w:cs="Arial"/>
          <w:szCs w:val="24"/>
        </w:rPr>
      </w:pPr>
      <w:bookmarkStart w:id="7" w:name="_Toc157630565"/>
      <w:r w:rsidRPr="009E3A3F">
        <w:rPr>
          <w:rFonts w:cs="Arial"/>
          <w:szCs w:val="24"/>
          <w:lang w:val="pt-BR"/>
        </w:rPr>
        <w:t>T</w:t>
      </w:r>
      <w:r>
        <w:rPr>
          <w:rFonts w:cs="Arial"/>
          <w:szCs w:val="24"/>
          <w:lang w:val="pt-BR"/>
        </w:rPr>
        <w:t>Í</w:t>
      </w:r>
      <w:r w:rsidRPr="009E3A3F">
        <w:rPr>
          <w:rFonts w:cs="Arial"/>
          <w:szCs w:val="24"/>
        </w:rPr>
        <w:t>TULO II</w:t>
      </w:r>
      <w:bookmarkEnd w:id="7"/>
    </w:p>
    <w:p w14:paraId="187A8331" w14:textId="77777777" w:rsidR="009E3A3F" w:rsidRPr="009E3A3F" w:rsidRDefault="009E3A3F" w:rsidP="009E3A3F">
      <w:pPr>
        <w:pStyle w:val="Parcelamento2"/>
        <w:rPr>
          <w:szCs w:val="24"/>
        </w:rPr>
      </w:pPr>
      <w:bookmarkStart w:id="8" w:name="_Toc321747653"/>
      <w:bookmarkStart w:id="9" w:name="_Toc157630566"/>
      <w:r w:rsidRPr="009E3A3F">
        <w:rPr>
          <w:szCs w:val="24"/>
        </w:rPr>
        <w:t>DO PARCELAMENTO DO SOLO</w:t>
      </w:r>
      <w:bookmarkEnd w:id="8"/>
      <w:bookmarkEnd w:id="9"/>
    </w:p>
    <w:p w14:paraId="2F07B9F5" w14:textId="77777777" w:rsidR="009E3A3F" w:rsidRPr="009E3A3F" w:rsidRDefault="009E3A3F" w:rsidP="009E3A3F">
      <w:pPr>
        <w:pStyle w:val="Parcelamento3"/>
        <w:rPr>
          <w:rFonts w:cs="Arial"/>
        </w:rPr>
      </w:pPr>
      <w:bookmarkStart w:id="10" w:name="_Toc321747654"/>
      <w:bookmarkStart w:id="11" w:name="_Toc157630567"/>
      <w:r w:rsidRPr="009E3A3F">
        <w:rPr>
          <w:rFonts w:cs="Arial"/>
        </w:rPr>
        <w:t>CAPÍTULO I</w:t>
      </w:r>
      <w:bookmarkEnd w:id="10"/>
      <w:bookmarkEnd w:id="11"/>
    </w:p>
    <w:p w14:paraId="5675A699" w14:textId="77777777" w:rsidR="009E3A3F" w:rsidRPr="009E3A3F" w:rsidRDefault="009E3A3F" w:rsidP="009E3A3F">
      <w:pPr>
        <w:pStyle w:val="Parcelamento4"/>
        <w:rPr>
          <w:rFonts w:cs="Arial"/>
        </w:rPr>
      </w:pPr>
      <w:bookmarkStart w:id="12" w:name="_Toc321747655"/>
      <w:bookmarkStart w:id="13" w:name="_Toc157630568"/>
      <w:r w:rsidRPr="009E3A3F">
        <w:rPr>
          <w:rFonts w:cs="Arial"/>
        </w:rPr>
        <w:t>DAS DISPOSIÇÕES GERAIS</w:t>
      </w:r>
      <w:bookmarkEnd w:id="12"/>
      <w:bookmarkEnd w:id="13"/>
    </w:p>
    <w:p w14:paraId="7A851711" w14:textId="77777777" w:rsidR="009E3A3F" w:rsidRPr="009E3A3F" w:rsidRDefault="009E3A3F" w:rsidP="009E3A3F">
      <w:pPr>
        <w:spacing w:line="360" w:lineRule="auto"/>
        <w:jc w:val="both"/>
        <w:rPr>
          <w:rFonts w:ascii="Arial" w:hAnsi="Arial" w:cs="Arial"/>
        </w:rPr>
      </w:pPr>
    </w:p>
    <w:p w14:paraId="5ED2DF0F"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bCs/>
        </w:rPr>
        <w:t>Art. 5°.</w:t>
      </w:r>
      <w:r w:rsidRPr="009E3A3F">
        <w:rPr>
          <w:rFonts w:ascii="Arial" w:hAnsi="Arial" w:cs="Arial"/>
        </w:rPr>
        <w:t xml:space="preserve"> Fica criado o Art. 40-A da Lei Complementar nº 107/2013, de 20 de dezembro de 2013 com a seguinte redação:</w:t>
      </w:r>
    </w:p>
    <w:p w14:paraId="5AC43444" w14:textId="77777777" w:rsidR="009E3A3F" w:rsidRPr="009E3A3F" w:rsidRDefault="009E3A3F" w:rsidP="009E3A3F">
      <w:pPr>
        <w:jc w:val="both"/>
        <w:rPr>
          <w:rFonts w:ascii="Arial" w:hAnsi="Arial" w:cs="Arial"/>
          <w:i/>
          <w:iCs/>
        </w:rPr>
      </w:pPr>
      <w:r w:rsidRPr="009E3A3F">
        <w:rPr>
          <w:rFonts w:ascii="Arial" w:hAnsi="Arial" w:cs="Arial"/>
          <w:b/>
          <w:bCs/>
          <w:i/>
          <w:iCs/>
          <w:lang w:val="en-US"/>
        </w:rPr>
        <w:t>Art. 40-A.</w:t>
      </w:r>
      <w:r w:rsidRPr="009E3A3F">
        <w:rPr>
          <w:rFonts w:ascii="Arial" w:hAnsi="Arial" w:cs="Arial"/>
          <w:i/>
          <w:iCs/>
          <w:lang w:val="en-US"/>
        </w:rPr>
        <w:t xml:space="preserve"> </w:t>
      </w:r>
      <w:r w:rsidRPr="009E3A3F">
        <w:rPr>
          <w:rFonts w:ascii="Arial" w:hAnsi="Arial" w:cs="Arial"/>
          <w:i/>
          <w:iCs/>
        </w:rPr>
        <w:t>Todo empreendimento de parcelamento do solo, loteamentos convencionais, poderão disponibilizar uma porção de até 15% (quinze por cento), do número total de lotes, com áreas de lotes menores, com área mínima de 300,00 m² (trezentos metros quadrados) e testada de 10,00m (dez metros), sendo estes considerados como Porcentagem Social, possibilitando oferta de terra a custo menor.</w:t>
      </w:r>
    </w:p>
    <w:p w14:paraId="47EBC1FD" w14:textId="77777777" w:rsidR="009E3A3F" w:rsidRPr="009E3A3F" w:rsidRDefault="009E3A3F" w:rsidP="009E3A3F">
      <w:pPr>
        <w:pStyle w:val="Parcelamento3"/>
        <w:jc w:val="left"/>
        <w:rPr>
          <w:rFonts w:cs="Arial"/>
        </w:rPr>
      </w:pPr>
      <w:bookmarkStart w:id="14" w:name="_Toc321747666"/>
    </w:p>
    <w:p w14:paraId="3A7DD9EE" w14:textId="77777777" w:rsidR="009E3A3F" w:rsidRPr="009E3A3F" w:rsidRDefault="009E3A3F" w:rsidP="009E3A3F">
      <w:pPr>
        <w:pStyle w:val="Parcelamento3"/>
        <w:rPr>
          <w:rFonts w:cs="Arial"/>
        </w:rPr>
      </w:pPr>
      <w:bookmarkStart w:id="15" w:name="_Toc157630569"/>
      <w:r w:rsidRPr="009E3A3F">
        <w:rPr>
          <w:rFonts w:cs="Arial"/>
        </w:rPr>
        <w:t>CAPÍTULO VII</w:t>
      </w:r>
      <w:bookmarkEnd w:id="14"/>
      <w:bookmarkEnd w:id="15"/>
    </w:p>
    <w:p w14:paraId="091E6332" w14:textId="77777777" w:rsidR="009E3A3F" w:rsidRPr="009E3A3F" w:rsidRDefault="009E3A3F" w:rsidP="009E3A3F">
      <w:pPr>
        <w:pStyle w:val="Parcelamento4"/>
        <w:rPr>
          <w:rFonts w:cs="Arial"/>
        </w:rPr>
      </w:pPr>
      <w:bookmarkStart w:id="16" w:name="_Toc321747667"/>
      <w:bookmarkStart w:id="17" w:name="_Toc157630570"/>
      <w:r w:rsidRPr="009E3A3F">
        <w:rPr>
          <w:rFonts w:cs="Arial"/>
        </w:rPr>
        <w:t>DA INFRAESTRUTURA</w:t>
      </w:r>
      <w:bookmarkEnd w:id="16"/>
      <w:bookmarkEnd w:id="17"/>
    </w:p>
    <w:p w14:paraId="6DD01F92" w14:textId="77777777" w:rsidR="009E3A3F" w:rsidRPr="009E3A3F" w:rsidRDefault="009E3A3F" w:rsidP="009E3A3F">
      <w:pPr>
        <w:spacing w:line="360" w:lineRule="auto"/>
        <w:jc w:val="both"/>
        <w:rPr>
          <w:rFonts w:ascii="Arial" w:hAnsi="Arial" w:cs="Arial"/>
        </w:rPr>
      </w:pPr>
    </w:p>
    <w:p w14:paraId="64581CE6"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rPr>
        <w:t>Art. 6º.</w:t>
      </w:r>
      <w:r w:rsidRPr="009E3A3F">
        <w:rPr>
          <w:rFonts w:ascii="Arial" w:hAnsi="Arial" w:cs="Arial"/>
        </w:rPr>
        <w:t xml:space="preserve"> Os incisos VI e VII do Art. 70 da Lei Complementar nº 107/2013, de 20 de dezembro de 2013, passa a vigorar com a seguinte redação:</w:t>
      </w:r>
    </w:p>
    <w:p w14:paraId="23597CF2" w14:textId="77777777" w:rsidR="009E3A3F" w:rsidRPr="009E3A3F" w:rsidRDefault="009E3A3F" w:rsidP="009E3A3F">
      <w:pPr>
        <w:jc w:val="both"/>
        <w:rPr>
          <w:rFonts w:ascii="Arial" w:hAnsi="Arial" w:cs="Arial"/>
        </w:rPr>
      </w:pPr>
      <w:r w:rsidRPr="009E3A3F">
        <w:rPr>
          <w:rFonts w:ascii="Arial" w:hAnsi="Arial" w:cs="Arial"/>
        </w:rPr>
        <w:t>Art. 70.</w:t>
      </w:r>
    </w:p>
    <w:p w14:paraId="3B1B1E24" w14:textId="77777777" w:rsidR="009E3A3F" w:rsidRPr="009E3A3F" w:rsidRDefault="009E3A3F" w:rsidP="009E3A3F">
      <w:pPr>
        <w:jc w:val="both"/>
        <w:rPr>
          <w:rFonts w:ascii="Arial" w:hAnsi="Arial" w:cs="Arial"/>
        </w:rPr>
      </w:pPr>
      <w:r w:rsidRPr="009E3A3F">
        <w:rPr>
          <w:rFonts w:ascii="Arial" w:hAnsi="Arial" w:cs="Arial"/>
        </w:rPr>
        <w:t>(......)</w:t>
      </w:r>
    </w:p>
    <w:p w14:paraId="1A6016D5" w14:textId="77777777" w:rsidR="009E3A3F" w:rsidRPr="009E3A3F" w:rsidRDefault="009E3A3F" w:rsidP="009E3A3F">
      <w:pPr>
        <w:jc w:val="both"/>
        <w:rPr>
          <w:rFonts w:ascii="Arial" w:hAnsi="Arial" w:cs="Arial"/>
          <w:i/>
          <w:iCs/>
        </w:rPr>
      </w:pPr>
      <w:r w:rsidRPr="009E3A3F">
        <w:rPr>
          <w:rFonts w:ascii="Arial" w:hAnsi="Arial" w:cs="Arial"/>
          <w:i/>
          <w:iCs/>
        </w:rPr>
        <w:t xml:space="preserve">VI – </w:t>
      </w:r>
      <w:proofErr w:type="gramStart"/>
      <w:r w:rsidRPr="009E3A3F">
        <w:rPr>
          <w:rFonts w:ascii="Arial" w:hAnsi="Arial" w:cs="Arial"/>
          <w:i/>
          <w:iCs/>
        </w:rPr>
        <w:t>iluminação</w:t>
      </w:r>
      <w:proofErr w:type="gramEnd"/>
      <w:r w:rsidRPr="009E3A3F">
        <w:rPr>
          <w:rFonts w:ascii="Arial" w:hAnsi="Arial" w:cs="Arial"/>
          <w:i/>
          <w:iCs/>
        </w:rPr>
        <w:t xml:space="preserve"> pública, com lâmpadas de LED;</w:t>
      </w:r>
    </w:p>
    <w:p w14:paraId="7358B55A" w14:textId="77777777" w:rsidR="009E3A3F" w:rsidRPr="009E3A3F" w:rsidRDefault="009E3A3F" w:rsidP="009E3A3F">
      <w:pPr>
        <w:jc w:val="both"/>
        <w:rPr>
          <w:rFonts w:ascii="Arial" w:hAnsi="Arial" w:cs="Arial"/>
          <w:i/>
          <w:iCs/>
        </w:rPr>
      </w:pPr>
      <w:r w:rsidRPr="009E3A3F">
        <w:rPr>
          <w:rFonts w:ascii="Arial" w:hAnsi="Arial" w:cs="Arial"/>
          <w:i/>
          <w:iCs/>
        </w:rPr>
        <w:t>VII – pavimentação asfáltica a quente ou em concreto nas vias de circulação.</w:t>
      </w:r>
    </w:p>
    <w:p w14:paraId="2D3244F1" w14:textId="77777777" w:rsidR="009E3A3F" w:rsidRPr="009E3A3F" w:rsidRDefault="009E3A3F" w:rsidP="009E3A3F">
      <w:pPr>
        <w:pStyle w:val="Parcelamento1"/>
        <w:rPr>
          <w:rFonts w:cs="Arial"/>
          <w:szCs w:val="24"/>
        </w:rPr>
      </w:pPr>
      <w:bookmarkStart w:id="18" w:name="_Toc321747680"/>
    </w:p>
    <w:p w14:paraId="7C8BA624" w14:textId="77777777" w:rsidR="009E3A3F" w:rsidRPr="009E3A3F" w:rsidRDefault="009E3A3F" w:rsidP="009E3A3F">
      <w:pPr>
        <w:pStyle w:val="Parcelamento1"/>
        <w:rPr>
          <w:rFonts w:cs="Arial"/>
          <w:szCs w:val="24"/>
        </w:rPr>
      </w:pPr>
    </w:p>
    <w:p w14:paraId="1471B60E" w14:textId="77777777" w:rsidR="009E3A3F" w:rsidRPr="009E3A3F" w:rsidRDefault="009E3A3F" w:rsidP="009E3A3F">
      <w:pPr>
        <w:pStyle w:val="Parcelamento1"/>
        <w:rPr>
          <w:rFonts w:cs="Arial"/>
          <w:szCs w:val="24"/>
        </w:rPr>
      </w:pPr>
    </w:p>
    <w:p w14:paraId="6961FE0A" w14:textId="77777777" w:rsidR="009E3A3F" w:rsidRPr="009E3A3F" w:rsidRDefault="009E3A3F" w:rsidP="009E3A3F">
      <w:pPr>
        <w:pStyle w:val="Parcelamento1"/>
        <w:rPr>
          <w:rFonts w:cs="Arial"/>
          <w:szCs w:val="24"/>
        </w:rPr>
      </w:pPr>
    </w:p>
    <w:p w14:paraId="6F5BC65B" w14:textId="77777777" w:rsidR="009E3A3F" w:rsidRPr="009E3A3F" w:rsidRDefault="009E3A3F" w:rsidP="009E3A3F">
      <w:pPr>
        <w:pStyle w:val="Parcelamento1"/>
        <w:rPr>
          <w:rFonts w:cs="Arial"/>
          <w:szCs w:val="24"/>
        </w:rPr>
      </w:pPr>
      <w:bookmarkStart w:id="19" w:name="_Toc157630571"/>
      <w:r w:rsidRPr="009E3A3F">
        <w:rPr>
          <w:rFonts w:cs="Arial"/>
          <w:szCs w:val="24"/>
        </w:rPr>
        <w:t>TÍTULO III</w:t>
      </w:r>
      <w:bookmarkEnd w:id="18"/>
      <w:bookmarkEnd w:id="19"/>
    </w:p>
    <w:p w14:paraId="2ED59383" w14:textId="77777777" w:rsidR="009E3A3F" w:rsidRPr="009E3A3F" w:rsidRDefault="009E3A3F" w:rsidP="009E3A3F">
      <w:pPr>
        <w:pStyle w:val="Parcelamento2"/>
        <w:rPr>
          <w:szCs w:val="24"/>
        </w:rPr>
      </w:pPr>
      <w:bookmarkStart w:id="20" w:name="_Toc321747681"/>
      <w:bookmarkStart w:id="21" w:name="_Toc157630572"/>
      <w:r w:rsidRPr="009E3A3F">
        <w:rPr>
          <w:szCs w:val="24"/>
          <w:lang w:val="pt-BR"/>
        </w:rPr>
        <w:t xml:space="preserve">DAS </w:t>
      </w:r>
      <w:r w:rsidRPr="009E3A3F">
        <w:rPr>
          <w:szCs w:val="24"/>
        </w:rPr>
        <w:t>DISPOSIÇÕES FINAIS E TRANSITÓRIAS</w:t>
      </w:r>
      <w:bookmarkEnd w:id="20"/>
      <w:bookmarkEnd w:id="21"/>
    </w:p>
    <w:p w14:paraId="5288C535" w14:textId="77777777" w:rsidR="009E3A3F" w:rsidRPr="009E3A3F" w:rsidRDefault="009E3A3F" w:rsidP="009E3A3F">
      <w:pPr>
        <w:spacing w:line="360" w:lineRule="auto"/>
        <w:jc w:val="both"/>
        <w:rPr>
          <w:rFonts w:ascii="Arial" w:hAnsi="Arial" w:cs="Arial"/>
        </w:rPr>
      </w:pPr>
    </w:p>
    <w:p w14:paraId="64025A11"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rPr>
        <w:t>Art. 7º.</w:t>
      </w:r>
      <w:r w:rsidRPr="009E3A3F">
        <w:rPr>
          <w:rFonts w:ascii="Arial" w:hAnsi="Arial" w:cs="Arial"/>
        </w:rPr>
        <w:t xml:space="preserve"> O mapa de Zoneamento, Anexo III, Inciso III do Art. 96 da Lei Complementar nº 107/2013, de 20 de dezembro de 2013, passa a ter nova configuração, anexo a este Projeto de Lei.</w:t>
      </w:r>
    </w:p>
    <w:p w14:paraId="494639E2" w14:textId="77777777" w:rsidR="009E3A3F" w:rsidRPr="009E3A3F" w:rsidRDefault="009E3A3F" w:rsidP="009E3A3F">
      <w:pPr>
        <w:jc w:val="both"/>
        <w:rPr>
          <w:rFonts w:ascii="Arial" w:hAnsi="Arial" w:cs="Arial"/>
        </w:rPr>
      </w:pPr>
      <w:r w:rsidRPr="009E3A3F">
        <w:rPr>
          <w:rFonts w:ascii="Arial" w:hAnsi="Arial" w:cs="Arial"/>
        </w:rPr>
        <w:t xml:space="preserve">Art. 96. </w:t>
      </w:r>
    </w:p>
    <w:p w14:paraId="262768AC" w14:textId="77777777" w:rsidR="009E3A3F" w:rsidRPr="009E3A3F" w:rsidRDefault="009E3A3F" w:rsidP="009E3A3F">
      <w:pPr>
        <w:jc w:val="both"/>
        <w:rPr>
          <w:rFonts w:ascii="Arial" w:hAnsi="Arial" w:cs="Arial"/>
        </w:rPr>
      </w:pPr>
      <w:r w:rsidRPr="009E3A3F">
        <w:rPr>
          <w:rFonts w:ascii="Arial" w:hAnsi="Arial" w:cs="Arial"/>
        </w:rPr>
        <w:t>(......)</w:t>
      </w:r>
    </w:p>
    <w:p w14:paraId="50E75298" w14:textId="77777777" w:rsidR="009E3A3F" w:rsidRPr="009E3A3F" w:rsidRDefault="009E3A3F" w:rsidP="009E3A3F">
      <w:pPr>
        <w:jc w:val="both"/>
        <w:rPr>
          <w:rFonts w:ascii="Arial" w:hAnsi="Arial" w:cs="Arial"/>
          <w:i/>
          <w:iCs/>
        </w:rPr>
      </w:pPr>
      <w:r w:rsidRPr="009E3A3F">
        <w:rPr>
          <w:rFonts w:ascii="Arial" w:hAnsi="Arial" w:cs="Arial"/>
          <w:i/>
          <w:iCs/>
        </w:rPr>
        <w:t>III – Anexo III – Mapa de Zoneamento.</w:t>
      </w:r>
    </w:p>
    <w:p w14:paraId="55586F54" w14:textId="77777777" w:rsidR="009E3A3F" w:rsidRPr="009E3A3F" w:rsidRDefault="009E3A3F" w:rsidP="009E3A3F">
      <w:pPr>
        <w:spacing w:line="360" w:lineRule="auto"/>
        <w:jc w:val="both"/>
        <w:rPr>
          <w:rFonts w:ascii="Arial" w:hAnsi="Arial" w:cs="Arial"/>
        </w:rPr>
      </w:pPr>
    </w:p>
    <w:p w14:paraId="3CB3C8C0"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bCs/>
        </w:rPr>
        <w:t>Art. 8°.</w:t>
      </w:r>
      <w:r w:rsidRPr="009E3A3F">
        <w:rPr>
          <w:rFonts w:ascii="Arial" w:hAnsi="Arial" w:cs="Arial"/>
        </w:rPr>
        <w:t xml:space="preserve"> As tabelas das Macrozona Rural, Macrozona de Interesse Turístico, Macrozona de Expansão Urbana Mista, Zona Mista Central, Zona Mista Central 1, Zona de Interesse Residencial, Zona de Proteção Ambiental 1, Zona de Proteção Ambiental 2 e Zona de Preservação Permanente, do Inciso IV, Anexo IV, do Art. 96 da Lei Complementar nº 107/2013, de 20 de dezembro de 2013, passam a ter as seguintes alterações, conforme Anexo IV – Tabela I – Parcelamento, Uso e Ocupação do Solo, anexo a este Projeto de Lei.</w:t>
      </w:r>
    </w:p>
    <w:p w14:paraId="5829426B" w14:textId="77777777" w:rsidR="009E3A3F" w:rsidRPr="009E3A3F" w:rsidRDefault="009E3A3F" w:rsidP="009E3A3F">
      <w:pPr>
        <w:spacing w:line="360" w:lineRule="auto"/>
        <w:jc w:val="both"/>
        <w:rPr>
          <w:rFonts w:ascii="Arial" w:hAnsi="Arial" w:cs="Arial"/>
        </w:rPr>
      </w:pPr>
    </w:p>
    <w:p w14:paraId="41E5E673" w14:textId="77777777" w:rsidR="009E3A3F" w:rsidRPr="009E3A3F" w:rsidRDefault="009E3A3F" w:rsidP="009E3A3F">
      <w:pPr>
        <w:spacing w:line="360" w:lineRule="auto"/>
        <w:jc w:val="both"/>
        <w:rPr>
          <w:rFonts w:ascii="Arial" w:hAnsi="Arial" w:cs="Arial"/>
        </w:rPr>
      </w:pPr>
      <w:r w:rsidRPr="009E3A3F">
        <w:rPr>
          <w:rFonts w:ascii="Arial" w:hAnsi="Arial" w:cs="Arial"/>
        </w:rPr>
        <w:t xml:space="preserve">Art. 96. </w:t>
      </w:r>
    </w:p>
    <w:p w14:paraId="2BC6B2FA" w14:textId="77777777" w:rsidR="009E3A3F" w:rsidRPr="009E3A3F" w:rsidRDefault="009E3A3F" w:rsidP="009E3A3F">
      <w:pPr>
        <w:spacing w:line="360" w:lineRule="auto"/>
        <w:jc w:val="both"/>
        <w:rPr>
          <w:rFonts w:ascii="Arial" w:hAnsi="Arial" w:cs="Arial"/>
        </w:rPr>
      </w:pPr>
      <w:r w:rsidRPr="009E3A3F">
        <w:rPr>
          <w:rFonts w:ascii="Arial" w:hAnsi="Arial" w:cs="Arial"/>
        </w:rPr>
        <w:t>(......)</w:t>
      </w:r>
    </w:p>
    <w:p w14:paraId="00CCFB90" w14:textId="77777777" w:rsidR="009E3A3F" w:rsidRPr="009E3A3F" w:rsidRDefault="009E3A3F" w:rsidP="009E3A3F">
      <w:pPr>
        <w:spacing w:line="360" w:lineRule="auto"/>
        <w:jc w:val="both"/>
        <w:rPr>
          <w:rFonts w:ascii="Arial" w:hAnsi="Arial" w:cs="Arial"/>
          <w:i/>
          <w:iCs/>
        </w:rPr>
      </w:pPr>
      <w:r w:rsidRPr="009E3A3F">
        <w:rPr>
          <w:rFonts w:ascii="Arial" w:hAnsi="Arial" w:cs="Arial"/>
          <w:i/>
          <w:iCs/>
        </w:rPr>
        <w:t>IV – Anexo IV – Tabela I – Parcelamento, Uso e Ocupação do Solo.</w:t>
      </w:r>
    </w:p>
    <w:p w14:paraId="52DB7583" w14:textId="77777777" w:rsidR="009E3A3F" w:rsidRPr="009E3A3F" w:rsidRDefault="009E3A3F" w:rsidP="009E3A3F">
      <w:pPr>
        <w:spacing w:line="360" w:lineRule="auto"/>
        <w:jc w:val="both"/>
        <w:rPr>
          <w:rFonts w:ascii="Arial" w:hAnsi="Arial" w:cs="Arial"/>
          <w:i/>
          <w:iCs/>
        </w:rPr>
      </w:pPr>
    </w:p>
    <w:p w14:paraId="48381741"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bCs/>
        </w:rPr>
        <w:t>Art. 9°.</w:t>
      </w:r>
      <w:r w:rsidRPr="009E3A3F">
        <w:rPr>
          <w:rFonts w:ascii="Arial" w:hAnsi="Arial" w:cs="Arial"/>
        </w:rPr>
        <w:t xml:space="preserve"> A tabela II, Inciso V, Anexo V, do Art. 96 da Lei Complementar nº 107/2013, de 20 de dezembro de 2013, passa a ter as seguintes alterações, conforme o Anexo V – Tabela II – Garagens/Vagas de Estacionamento, anexo a este Projeto de Lei.</w:t>
      </w:r>
    </w:p>
    <w:p w14:paraId="2AE0F6CD" w14:textId="77777777" w:rsidR="009E3A3F" w:rsidRPr="009E3A3F" w:rsidRDefault="009E3A3F" w:rsidP="009E3A3F">
      <w:pPr>
        <w:spacing w:line="360" w:lineRule="auto"/>
        <w:jc w:val="both"/>
        <w:rPr>
          <w:rFonts w:ascii="Arial" w:hAnsi="Arial" w:cs="Arial"/>
          <w:i/>
          <w:iCs/>
        </w:rPr>
      </w:pPr>
      <w:r w:rsidRPr="009E3A3F">
        <w:rPr>
          <w:rFonts w:ascii="Arial" w:hAnsi="Arial" w:cs="Arial"/>
          <w:i/>
          <w:iCs/>
        </w:rPr>
        <w:t xml:space="preserve">Art. 96. </w:t>
      </w:r>
    </w:p>
    <w:p w14:paraId="1368D651" w14:textId="77777777" w:rsidR="009E3A3F" w:rsidRPr="009E3A3F" w:rsidRDefault="009E3A3F" w:rsidP="009E3A3F">
      <w:pPr>
        <w:spacing w:line="360" w:lineRule="auto"/>
        <w:jc w:val="both"/>
        <w:rPr>
          <w:rFonts w:ascii="Arial" w:hAnsi="Arial" w:cs="Arial"/>
          <w:i/>
          <w:iCs/>
        </w:rPr>
      </w:pPr>
      <w:r w:rsidRPr="009E3A3F">
        <w:rPr>
          <w:rFonts w:ascii="Arial" w:hAnsi="Arial" w:cs="Arial"/>
          <w:i/>
          <w:iCs/>
        </w:rPr>
        <w:t>(......)</w:t>
      </w:r>
    </w:p>
    <w:p w14:paraId="37F28B9C" w14:textId="77777777" w:rsidR="009E3A3F" w:rsidRPr="009E3A3F" w:rsidRDefault="009E3A3F" w:rsidP="009E3A3F">
      <w:pPr>
        <w:spacing w:line="360" w:lineRule="auto"/>
        <w:jc w:val="both"/>
        <w:rPr>
          <w:rFonts w:ascii="Arial" w:hAnsi="Arial" w:cs="Arial"/>
          <w:i/>
          <w:iCs/>
        </w:rPr>
      </w:pPr>
      <w:r w:rsidRPr="009E3A3F">
        <w:rPr>
          <w:rFonts w:ascii="Arial" w:hAnsi="Arial" w:cs="Arial"/>
          <w:i/>
          <w:iCs/>
        </w:rPr>
        <w:t>V – Anexo V – Tabela II – Garagens/Vagas de Estacionamento.</w:t>
      </w:r>
    </w:p>
    <w:p w14:paraId="6EE2C3A0" w14:textId="77777777" w:rsidR="009E3A3F" w:rsidRPr="009E3A3F" w:rsidRDefault="009E3A3F" w:rsidP="009E3A3F">
      <w:pPr>
        <w:spacing w:line="360" w:lineRule="auto"/>
        <w:jc w:val="both"/>
        <w:rPr>
          <w:rFonts w:ascii="Arial" w:hAnsi="Arial" w:cs="Arial"/>
        </w:rPr>
      </w:pPr>
    </w:p>
    <w:p w14:paraId="0C77B6CE" w14:textId="77777777" w:rsidR="009E3A3F" w:rsidRPr="009E3A3F" w:rsidRDefault="009E3A3F" w:rsidP="009E3A3F">
      <w:pPr>
        <w:spacing w:line="360" w:lineRule="auto"/>
        <w:ind w:firstLine="2268"/>
        <w:jc w:val="both"/>
        <w:rPr>
          <w:rFonts w:ascii="Arial" w:hAnsi="Arial" w:cs="Arial"/>
        </w:rPr>
      </w:pPr>
      <w:r w:rsidRPr="009E3A3F">
        <w:rPr>
          <w:rFonts w:ascii="Arial" w:hAnsi="Arial" w:cs="Arial"/>
          <w:b/>
          <w:bCs/>
        </w:rPr>
        <w:t>Art. 10.</w:t>
      </w:r>
      <w:r w:rsidRPr="009E3A3F">
        <w:rPr>
          <w:rFonts w:ascii="Arial" w:hAnsi="Arial" w:cs="Arial"/>
        </w:rPr>
        <w:t xml:space="preserve"> A Classificação de Usos, Inciso VI, Anexo VI, do Art. 96 da Lei Complementar nº 107/2013, de 20 de dezembro de 2013, passa a ter a inclusão de mais alguns usos, conforme o Anexo VI – Classificação de Usos, anexo a este Projeto de Lei.</w:t>
      </w:r>
    </w:p>
    <w:p w14:paraId="67ACC30B" w14:textId="77777777" w:rsidR="009E3A3F" w:rsidRPr="009E3A3F" w:rsidRDefault="009E3A3F" w:rsidP="009E3A3F">
      <w:pPr>
        <w:spacing w:line="360" w:lineRule="auto"/>
        <w:jc w:val="both"/>
        <w:rPr>
          <w:rFonts w:ascii="Arial" w:hAnsi="Arial" w:cs="Arial"/>
        </w:rPr>
      </w:pPr>
      <w:r w:rsidRPr="009E3A3F">
        <w:rPr>
          <w:rFonts w:ascii="Arial" w:hAnsi="Arial" w:cs="Arial"/>
        </w:rPr>
        <w:t>Art. 96. (......)</w:t>
      </w:r>
    </w:p>
    <w:p w14:paraId="69C35E67" w14:textId="77777777" w:rsidR="009E3A3F" w:rsidRPr="009E3A3F" w:rsidRDefault="009E3A3F" w:rsidP="009E3A3F">
      <w:pPr>
        <w:spacing w:line="360" w:lineRule="auto"/>
        <w:jc w:val="both"/>
        <w:rPr>
          <w:rFonts w:ascii="Arial" w:hAnsi="Arial" w:cs="Arial"/>
          <w:i/>
          <w:iCs/>
        </w:rPr>
      </w:pPr>
      <w:r w:rsidRPr="009E3A3F">
        <w:rPr>
          <w:rFonts w:ascii="Arial" w:hAnsi="Arial" w:cs="Arial"/>
          <w:i/>
          <w:iCs/>
        </w:rPr>
        <w:t>VI – Anexo VI – Classificação dos Usos.</w:t>
      </w:r>
    </w:p>
    <w:p w14:paraId="0709745B" w14:textId="77777777" w:rsidR="009E3A3F" w:rsidRPr="009E3A3F" w:rsidRDefault="009E3A3F" w:rsidP="009E3A3F">
      <w:pPr>
        <w:spacing w:line="360" w:lineRule="auto"/>
        <w:jc w:val="both"/>
        <w:rPr>
          <w:rFonts w:ascii="Arial" w:hAnsi="Arial" w:cs="Arial"/>
        </w:rPr>
      </w:pPr>
    </w:p>
    <w:p w14:paraId="10C17FDC" w14:textId="77777777" w:rsidR="009E3A3F" w:rsidRPr="009E3A3F" w:rsidRDefault="009E3A3F" w:rsidP="009E3A3F">
      <w:pPr>
        <w:spacing w:line="360" w:lineRule="auto"/>
        <w:ind w:firstLine="2268"/>
        <w:jc w:val="both"/>
        <w:rPr>
          <w:rFonts w:ascii="Arial" w:hAnsi="Arial" w:cs="Arial"/>
          <w:bCs/>
        </w:rPr>
      </w:pPr>
      <w:r w:rsidRPr="009E3A3F">
        <w:rPr>
          <w:rFonts w:ascii="Arial" w:hAnsi="Arial" w:cs="Arial"/>
          <w:b/>
        </w:rPr>
        <w:t>Art. 11.</w:t>
      </w:r>
      <w:r w:rsidRPr="009E3A3F">
        <w:rPr>
          <w:rFonts w:ascii="Arial" w:hAnsi="Arial" w:cs="Arial"/>
          <w:bCs/>
        </w:rPr>
        <w:t xml:space="preserve"> Visando a consecução dos objetivos expressos nesta Lei integram os seguintes anexos: </w:t>
      </w:r>
    </w:p>
    <w:p w14:paraId="6A52C242" w14:textId="77777777" w:rsidR="009E3A3F" w:rsidRPr="009E3A3F" w:rsidRDefault="009E3A3F" w:rsidP="009E3A3F">
      <w:pPr>
        <w:rPr>
          <w:rFonts w:ascii="Arial" w:hAnsi="Arial" w:cs="Arial"/>
          <w:b/>
          <w:bCs/>
          <w:i/>
        </w:rPr>
      </w:pPr>
      <w:r w:rsidRPr="009E3A3F">
        <w:rPr>
          <w:rFonts w:ascii="Arial" w:hAnsi="Arial" w:cs="Arial"/>
          <w:b/>
          <w:bCs/>
          <w:i/>
        </w:rPr>
        <w:t xml:space="preserve">III </w:t>
      </w:r>
      <w:r w:rsidRPr="009E3A3F">
        <w:rPr>
          <w:rFonts w:ascii="Arial" w:hAnsi="Arial" w:cs="Arial"/>
          <w:b/>
          <w:i/>
        </w:rPr>
        <w:t>–</w:t>
      </w:r>
      <w:r w:rsidRPr="009E3A3F">
        <w:rPr>
          <w:rFonts w:ascii="Arial" w:hAnsi="Arial" w:cs="Arial"/>
          <w:b/>
          <w:bCs/>
          <w:i/>
        </w:rPr>
        <w:t xml:space="preserve"> Anexo III:  Mapa de Zoneamento;</w:t>
      </w:r>
    </w:p>
    <w:p w14:paraId="03F345AE" w14:textId="77777777" w:rsidR="009E3A3F" w:rsidRPr="009E3A3F" w:rsidRDefault="009E3A3F" w:rsidP="009E3A3F">
      <w:pPr>
        <w:rPr>
          <w:rFonts w:ascii="Arial" w:hAnsi="Arial" w:cs="Arial"/>
          <w:b/>
          <w:bCs/>
          <w:i/>
        </w:rPr>
      </w:pPr>
      <w:r w:rsidRPr="009E3A3F">
        <w:rPr>
          <w:rFonts w:ascii="Arial" w:hAnsi="Arial" w:cs="Arial"/>
          <w:b/>
          <w:bCs/>
          <w:i/>
        </w:rPr>
        <w:t xml:space="preserve">IV </w:t>
      </w:r>
      <w:r w:rsidRPr="009E3A3F">
        <w:rPr>
          <w:rFonts w:ascii="Arial" w:hAnsi="Arial" w:cs="Arial"/>
          <w:b/>
          <w:i/>
        </w:rPr>
        <w:t>–</w:t>
      </w:r>
      <w:r w:rsidRPr="009E3A3F">
        <w:rPr>
          <w:rFonts w:ascii="Arial" w:hAnsi="Arial" w:cs="Arial"/>
          <w:b/>
          <w:bCs/>
          <w:i/>
        </w:rPr>
        <w:t xml:space="preserve"> Anexo IV: Tabela I – Parcelamento, Uso e Ocupação do Solo;</w:t>
      </w:r>
    </w:p>
    <w:p w14:paraId="26C4E6AD" w14:textId="77777777" w:rsidR="009E3A3F" w:rsidRPr="009E3A3F" w:rsidRDefault="009E3A3F" w:rsidP="009E3A3F">
      <w:pPr>
        <w:rPr>
          <w:rFonts w:ascii="Arial" w:hAnsi="Arial" w:cs="Arial"/>
          <w:b/>
          <w:bCs/>
          <w:i/>
        </w:rPr>
      </w:pPr>
      <w:r w:rsidRPr="009E3A3F">
        <w:rPr>
          <w:rFonts w:ascii="Arial" w:hAnsi="Arial" w:cs="Arial"/>
          <w:b/>
          <w:bCs/>
          <w:i/>
        </w:rPr>
        <w:t xml:space="preserve">V </w:t>
      </w:r>
      <w:r w:rsidRPr="009E3A3F">
        <w:rPr>
          <w:rFonts w:ascii="Arial" w:hAnsi="Arial" w:cs="Arial"/>
          <w:b/>
          <w:i/>
        </w:rPr>
        <w:t>–</w:t>
      </w:r>
      <w:r w:rsidRPr="009E3A3F">
        <w:rPr>
          <w:rFonts w:ascii="Arial" w:hAnsi="Arial" w:cs="Arial"/>
          <w:b/>
          <w:bCs/>
          <w:i/>
        </w:rPr>
        <w:t xml:space="preserve"> Anexo V:  Tabela II – Garagens / Vagas de Estacionamento;</w:t>
      </w:r>
    </w:p>
    <w:p w14:paraId="6AD232BE" w14:textId="77777777" w:rsidR="009E3A3F" w:rsidRPr="009E3A3F" w:rsidRDefault="009E3A3F" w:rsidP="009E3A3F">
      <w:pPr>
        <w:rPr>
          <w:rFonts w:ascii="Arial" w:hAnsi="Arial" w:cs="Arial"/>
          <w:b/>
          <w:bCs/>
          <w:i/>
        </w:rPr>
      </w:pPr>
      <w:r w:rsidRPr="009E3A3F">
        <w:rPr>
          <w:rFonts w:ascii="Arial" w:hAnsi="Arial" w:cs="Arial"/>
          <w:b/>
          <w:bCs/>
          <w:i/>
        </w:rPr>
        <w:t>VI – Anexo VI: Classificação dos Usos;</w:t>
      </w:r>
    </w:p>
    <w:p w14:paraId="1CF19032" w14:textId="77777777" w:rsidR="009E3A3F" w:rsidRPr="009E3A3F" w:rsidRDefault="009E3A3F" w:rsidP="009E3A3F">
      <w:pPr>
        <w:spacing w:line="360" w:lineRule="auto"/>
        <w:rPr>
          <w:rFonts w:ascii="Arial" w:hAnsi="Arial" w:cs="Arial"/>
          <w:color w:val="FF0000"/>
        </w:rPr>
      </w:pPr>
    </w:p>
    <w:p w14:paraId="7A359AAA" w14:textId="77777777" w:rsidR="009E3A3F" w:rsidRPr="009E3A3F" w:rsidRDefault="009E3A3F" w:rsidP="009E3A3F">
      <w:pPr>
        <w:spacing w:line="360" w:lineRule="auto"/>
        <w:ind w:firstLine="2268"/>
        <w:rPr>
          <w:rFonts w:ascii="Arial" w:hAnsi="Arial" w:cs="Arial"/>
        </w:rPr>
      </w:pPr>
      <w:r w:rsidRPr="009E3A3F">
        <w:rPr>
          <w:rFonts w:ascii="Arial" w:hAnsi="Arial" w:cs="Arial"/>
          <w:b/>
          <w:bCs/>
        </w:rPr>
        <w:t>Art. 12.</w:t>
      </w:r>
      <w:r w:rsidRPr="009E3A3F">
        <w:rPr>
          <w:rFonts w:ascii="Arial" w:hAnsi="Arial" w:cs="Arial"/>
        </w:rPr>
        <w:t xml:space="preserve"> Os dispositivos não alterados pela presente Lei continuam em pleno vigor.</w:t>
      </w:r>
    </w:p>
    <w:p w14:paraId="757B570D" w14:textId="77777777" w:rsidR="009E3A3F" w:rsidRPr="009E3A3F" w:rsidRDefault="009E3A3F" w:rsidP="009E3A3F">
      <w:pPr>
        <w:spacing w:line="360" w:lineRule="auto"/>
        <w:rPr>
          <w:rFonts w:ascii="Arial" w:hAnsi="Arial" w:cs="Arial"/>
          <w:color w:val="FF0000"/>
        </w:rPr>
      </w:pPr>
    </w:p>
    <w:p w14:paraId="17C79220" w14:textId="77777777" w:rsidR="009E3A3F" w:rsidRPr="009E3A3F" w:rsidRDefault="009E3A3F" w:rsidP="009E3A3F">
      <w:pPr>
        <w:spacing w:line="360" w:lineRule="auto"/>
        <w:ind w:firstLine="2268"/>
        <w:rPr>
          <w:rFonts w:ascii="Arial" w:hAnsi="Arial" w:cs="Arial"/>
        </w:rPr>
      </w:pPr>
      <w:r w:rsidRPr="009E3A3F">
        <w:rPr>
          <w:rFonts w:ascii="Arial" w:hAnsi="Arial" w:cs="Arial"/>
          <w:b/>
          <w:bCs/>
        </w:rPr>
        <w:t>Art. 13.</w:t>
      </w:r>
      <w:r w:rsidRPr="009E3A3F">
        <w:rPr>
          <w:rFonts w:ascii="Arial" w:hAnsi="Arial" w:cs="Arial"/>
        </w:rPr>
        <w:t xml:space="preserve"> A presente Lei Complementar entra em vigor na data de sua publicação.</w:t>
      </w:r>
    </w:p>
    <w:p w14:paraId="5E3D879A" w14:textId="77777777" w:rsidR="009E3A3F" w:rsidRPr="009E3A3F" w:rsidRDefault="009E3A3F" w:rsidP="009E3A3F">
      <w:pPr>
        <w:spacing w:line="360" w:lineRule="auto"/>
        <w:rPr>
          <w:rFonts w:ascii="Arial" w:hAnsi="Arial" w:cs="Arial"/>
          <w:color w:val="FF0000"/>
        </w:rPr>
      </w:pPr>
    </w:p>
    <w:p w14:paraId="7987FEB3" w14:textId="77777777" w:rsidR="009E3A3F" w:rsidRPr="009E3A3F" w:rsidRDefault="009E3A3F" w:rsidP="009E3A3F">
      <w:pPr>
        <w:spacing w:line="360" w:lineRule="auto"/>
        <w:ind w:firstLine="2268"/>
        <w:rPr>
          <w:rFonts w:ascii="Arial" w:hAnsi="Arial" w:cs="Arial"/>
        </w:rPr>
      </w:pPr>
      <w:r w:rsidRPr="009E3A3F">
        <w:rPr>
          <w:rFonts w:ascii="Arial" w:hAnsi="Arial" w:cs="Arial"/>
          <w:b/>
          <w:bCs/>
        </w:rPr>
        <w:t>Art. 14.</w:t>
      </w:r>
      <w:r w:rsidRPr="009E3A3F">
        <w:rPr>
          <w:rFonts w:ascii="Arial" w:hAnsi="Arial" w:cs="Arial"/>
        </w:rPr>
        <w:t xml:space="preserve"> Revogam-se as disposições em contrário.</w:t>
      </w:r>
    </w:p>
    <w:p w14:paraId="42F3EBE9" w14:textId="77777777" w:rsidR="00E13791" w:rsidRPr="009E3A3F" w:rsidRDefault="00E13791" w:rsidP="00902978">
      <w:pPr>
        <w:spacing w:line="254" w:lineRule="auto"/>
        <w:ind w:right="425" w:firstLine="142"/>
        <w:jc w:val="center"/>
        <w:rPr>
          <w:rFonts w:ascii="Arial" w:hAnsi="Arial" w:cs="Arial"/>
        </w:rPr>
      </w:pPr>
    </w:p>
    <w:p w14:paraId="09FA22D0" w14:textId="4F7A0CD7" w:rsidR="00B87463" w:rsidRPr="009E3A3F" w:rsidRDefault="00B87463" w:rsidP="00902978">
      <w:pPr>
        <w:spacing w:line="254" w:lineRule="auto"/>
        <w:ind w:right="425" w:firstLine="142"/>
        <w:jc w:val="center"/>
        <w:rPr>
          <w:rFonts w:ascii="Arial" w:hAnsi="Arial" w:cs="Arial"/>
        </w:rPr>
      </w:pPr>
      <w:r w:rsidRPr="009E3A3F">
        <w:rPr>
          <w:rFonts w:ascii="Arial" w:hAnsi="Arial" w:cs="Arial"/>
        </w:rPr>
        <w:t>Centro Administrativo Municipal de Presidente Castello Branco – SC.</w:t>
      </w:r>
    </w:p>
    <w:p w14:paraId="1240574E" w14:textId="77777777" w:rsidR="005F01E3" w:rsidRPr="009E3A3F" w:rsidRDefault="005F01E3" w:rsidP="00902978">
      <w:pPr>
        <w:spacing w:line="254" w:lineRule="auto"/>
        <w:ind w:right="425" w:firstLine="142"/>
        <w:rPr>
          <w:rFonts w:ascii="Arial" w:hAnsi="Arial" w:cs="Arial"/>
        </w:rPr>
      </w:pPr>
      <w:bookmarkStart w:id="22" w:name="_Hlk120771935"/>
    </w:p>
    <w:p w14:paraId="18DD9812" w14:textId="77777777" w:rsidR="00902978" w:rsidRPr="009E3A3F" w:rsidRDefault="00902978" w:rsidP="00902978">
      <w:pPr>
        <w:spacing w:line="254" w:lineRule="auto"/>
        <w:ind w:right="425" w:firstLine="142"/>
        <w:jc w:val="center"/>
        <w:rPr>
          <w:rFonts w:ascii="Arial" w:hAnsi="Arial" w:cs="Arial"/>
          <w:b/>
          <w:bCs/>
        </w:rPr>
      </w:pPr>
    </w:p>
    <w:p w14:paraId="3C453FE5" w14:textId="3ACB0077" w:rsidR="00B87463" w:rsidRPr="009E3A3F" w:rsidRDefault="00B87463" w:rsidP="00902978">
      <w:pPr>
        <w:spacing w:line="254" w:lineRule="auto"/>
        <w:ind w:right="425" w:firstLine="142"/>
        <w:jc w:val="center"/>
        <w:rPr>
          <w:rFonts w:ascii="Arial" w:hAnsi="Arial" w:cs="Arial"/>
          <w:b/>
          <w:bCs/>
        </w:rPr>
      </w:pPr>
      <w:r w:rsidRPr="009E3A3F">
        <w:rPr>
          <w:rFonts w:ascii="Arial" w:hAnsi="Arial" w:cs="Arial"/>
          <w:b/>
          <w:bCs/>
        </w:rPr>
        <w:t xml:space="preserve">Neiva </w:t>
      </w:r>
      <w:proofErr w:type="spellStart"/>
      <w:r w:rsidRPr="009E3A3F">
        <w:rPr>
          <w:rFonts w:ascii="Arial" w:hAnsi="Arial" w:cs="Arial"/>
          <w:b/>
          <w:bCs/>
        </w:rPr>
        <w:t>Kleemann</w:t>
      </w:r>
      <w:proofErr w:type="spellEnd"/>
      <w:r w:rsidRPr="009E3A3F">
        <w:rPr>
          <w:rFonts w:ascii="Arial" w:hAnsi="Arial" w:cs="Arial"/>
          <w:b/>
          <w:bCs/>
        </w:rPr>
        <w:t xml:space="preserve"> </w:t>
      </w:r>
      <w:proofErr w:type="spellStart"/>
      <w:r w:rsidRPr="009E3A3F">
        <w:rPr>
          <w:rFonts w:ascii="Arial" w:hAnsi="Arial" w:cs="Arial"/>
          <w:b/>
          <w:bCs/>
        </w:rPr>
        <w:t>Tonielo</w:t>
      </w:r>
      <w:proofErr w:type="spellEnd"/>
    </w:p>
    <w:p w14:paraId="6EECC5DE" w14:textId="77777777" w:rsidR="00E13791" w:rsidRPr="009E3A3F" w:rsidRDefault="00B87463" w:rsidP="00902978">
      <w:pPr>
        <w:ind w:right="425" w:firstLine="142"/>
        <w:jc w:val="center"/>
        <w:rPr>
          <w:rFonts w:ascii="Arial" w:hAnsi="Arial" w:cs="Arial"/>
          <w:b/>
          <w:bCs/>
        </w:rPr>
      </w:pPr>
      <w:r w:rsidRPr="009E3A3F">
        <w:rPr>
          <w:rFonts w:ascii="Arial" w:hAnsi="Arial" w:cs="Arial"/>
          <w:b/>
          <w:bCs/>
        </w:rPr>
        <w:t xml:space="preserve">Prefeita Municipal </w:t>
      </w:r>
    </w:p>
    <w:p w14:paraId="47B105F0" w14:textId="5A7C5599" w:rsidR="00B87463" w:rsidRPr="009E3A3F" w:rsidRDefault="00B87463" w:rsidP="00902978">
      <w:pPr>
        <w:ind w:right="425" w:firstLine="142"/>
        <w:jc w:val="center"/>
        <w:rPr>
          <w:rFonts w:ascii="Arial" w:hAnsi="Arial" w:cs="Arial"/>
          <w:b/>
          <w:bCs/>
        </w:rPr>
      </w:pPr>
      <w:r w:rsidRPr="009E3A3F">
        <w:rPr>
          <w:rFonts w:ascii="Arial" w:hAnsi="Arial" w:cs="Arial"/>
          <w:b/>
          <w:bCs/>
        </w:rPr>
        <w:t xml:space="preserve"> </w:t>
      </w:r>
    </w:p>
    <w:bookmarkEnd w:id="22"/>
    <w:p w14:paraId="6D3DA88B" w14:textId="77777777" w:rsidR="00B87463" w:rsidRPr="009E3A3F" w:rsidRDefault="00B87463" w:rsidP="00902978">
      <w:pPr>
        <w:ind w:right="425" w:firstLine="142"/>
        <w:jc w:val="center"/>
        <w:rPr>
          <w:rFonts w:ascii="Arial" w:hAnsi="Arial" w:cs="Arial"/>
          <w:sz w:val="6"/>
          <w:szCs w:val="6"/>
        </w:rPr>
      </w:pPr>
    </w:p>
    <w:p w14:paraId="7177CCF6" w14:textId="0F714B90" w:rsidR="00B87463" w:rsidRPr="009E3A3F" w:rsidRDefault="00B87463" w:rsidP="00902978">
      <w:pPr>
        <w:ind w:right="425" w:firstLine="142"/>
        <w:jc w:val="center"/>
        <w:rPr>
          <w:rFonts w:ascii="Arial" w:hAnsi="Arial" w:cs="Arial"/>
        </w:rPr>
      </w:pPr>
      <w:r w:rsidRPr="009E3A3F">
        <w:rPr>
          <w:rFonts w:ascii="Arial" w:hAnsi="Arial" w:cs="Arial"/>
        </w:rPr>
        <w:t xml:space="preserve">Publicada a presente Lei Complementar em </w:t>
      </w:r>
      <w:r w:rsidR="009E3A3F" w:rsidRPr="009E3A3F">
        <w:rPr>
          <w:rFonts w:ascii="Arial" w:hAnsi="Arial" w:cs="Arial"/>
        </w:rPr>
        <w:t>26</w:t>
      </w:r>
      <w:r w:rsidR="00902978" w:rsidRPr="009E3A3F">
        <w:rPr>
          <w:rFonts w:ascii="Arial" w:hAnsi="Arial" w:cs="Arial"/>
        </w:rPr>
        <w:t>/</w:t>
      </w:r>
      <w:r w:rsidR="00E34CCF" w:rsidRPr="009E3A3F">
        <w:rPr>
          <w:rFonts w:ascii="Arial" w:hAnsi="Arial" w:cs="Arial"/>
        </w:rPr>
        <w:t>03</w:t>
      </w:r>
      <w:r w:rsidRPr="009E3A3F">
        <w:rPr>
          <w:rFonts w:ascii="Arial" w:hAnsi="Arial" w:cs="Arial"/>
        </w:rPr>
        <w:t>/202</w:t>
      </w:r>
      <w:r w:rsidR="00E34CCF" w:rsidRPr="009E3A3F">
        <w:rPr>
          <w:rFonts w:ascii="Arial" w:hAnsi="Arial" w:cs="Arial"/>
        </w:rPr>
        <w:t>4</w:t>
      </w:r>
      <w:r w:rsidRPr="009E3A3F">
        <w:rPr>
          <w:rFonts w:ascii="Arial" w:hAnsi="Arial" w:cs="Arial"/>
        </w:rPr>
        <w:t>, na forma da L.O.M.</w:t>
      </w:r>
    </w:p>
    <w:p w14:paraId="1DADFF53" w14:textId="77777777" w:rsidR="00B87463" w:rsidRPr="009E3A3F" w:rsidRDefault="00B87463" w:rsidP="00902978">
      <w:pPr>
        <w:ind w:right="425" w:firstLine="142"/>
        <w:rPr>
          <w:rFonts w:ascii="Arial" w:hAnsi="Arial" w:cs="Arial"/>
        </w:rPr>
      </w:pPr>
    </w:p>
    <w:p w14:paraId="40204F93" w14:textId="77777777" w:rsidR="00902978" w:rsidRPr="009E3A3F" w:rsidRDefault="00902978" w:rsidP="00902978">
      <w:pPr>
        <w:ind w:right="425" w:firstLine="142"/>
        <w:jc w:val="center"/>
        <w:rPr>
          <w:rFonts w:ascii="Arial" w:hAnsi="Arial" w:cs="Arial"/>
          <w:b/>
          <w:bCs/>
        </w:rPr>
      </w:pPr>
    </w:p>
    <w:p w14:paraId="3728E247" w14:textId="081F9EEB" w:rsidR="00B87463" w:rsidRPr="009E3A3F" w:rsidRDefault="00B87463" w:rsidP="00902978">
      <w:pPr>
        <w:ind w:right="425" w:firstLine="142"/>
        <w:jc w:val="center"/>
        <w:rPr>
          <w:rFonts w:ascii="Arial" w:hAnsi="Arial" w:cs="Arial"/>
          <w:b/>
          <w:bCs/>
        </w:rPr>
      </w:pPr>
      <w:r w:rsidRPr="009E3A3F">
        <w:rPr>
          <w:rFonts w:ascii="Arial" w:hAnsi="Arial" w:cs="Arial"/>
          <w:b/>
          <w:bCs/>
        </w:rPr>
        <w:t>Ademir Domingos Miotto</w:t>
      </w:r>
    </w:p>
    <w:p w14:paraId="20B34226" w14:textId="17FD7397" w:rsidR="00E63F59" w:rsidRPr="009E3A3F" w:rsidRDefault="00B87463" w:rsidP="00902978">
      <w:pPr>
        <w:tabs>
          <w:tab w:val="left" w:pos="2268"/>
        </w:tabs>
        <w:ind w:right="425" w:firstLine="142"/>
        <w:jc w:val="center"/>
        <w:rPr>
          <w:rFonts w:ascii="Arial" w:hAnsi="Arial" w:cs="Arial"/>
          <w:b/>
          <w:bCs/>
        </w:rPr>
      </w:pPr>
      <w:r w:rsidRPr="009E3A3F">
        <w:rPr>
          <w:rFonts w:ascii="Arial" w:hAnsi="Arial" w:cs="Arial"/>
          <w:b/>
          <w:bCs/>
        </w:rPr>
        <w:t xml:space="preserve"> Secretário Municipal de Administração, Planejamento e Finança</w:t>
      </w:r>
      <w:r w:rsidR="00E63F59" w:rsidRPr="009E3A3F">
        <w:rPr>
          <w:rFonts w:ascii="Arial" w:hAnsi="Arial" w:cs="Arial"/>
          <w:b/>
          <w:bCs/>
        </w:rPr>
        <w:t>s</w:t>
      </w:r>
    </w:p>
    <w:sectPr w:rsidR="00E63F59" w:rsidRPr="009E3A3F" w:rsidSect="00E34CCF">
      <w:pgSz w:w="11906" w:h="16838"/>
      <w:pgMar w:top="1985" w:right="127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53E3"/>
    <w:multiLevelType w:val="hybridMultilevel"/>
    <w:tmpl w:val="8098D9F2"/>
    <w:lvl w:ilvl="0" w:tplc="D5CC9EFA">
      <w:numFmt w:val="bullet"/>
      <w:lvlText w:val=""/>
      <w:lvlJc w:val="left"/>
      <w:pPr>
        <w:ind w:left="180" w:hanging="360"/>
      </w:pPr>
      <w:rPr>
        <w:rFonts w:ascii="Wingdings" w:eastAsia="Times New Roman" w:hAnsi="Wingdings" w:cs="Times New Roman" w:hint="default"/>
      </w:rPr>
    </w:lvl>
    <w:lvl w:ilvl="1" w:tplc="04160003" w:tentative="1">
      <w:start w:val="1"/>
      <w:numFmt w:val="bullet"/>
      <w:lvlText w:val="o"/>
      <w:lvlJc w:val="left"/>
      <w:pPr>
        <w:ind w:left="900" w:hanging="360"/>
      </w:pPr>
      <w:rPr>
        <w:rFonts w:ascii="Courier New" w:hAnsi="Courier New" w:cs="Courier New" w:hint="default"/>
      </w:rPr>
    </w:lvl>
    <w:lvl w:ilvl="2" w:tplc="04160005" w:tentative="1">
      <w:start w:val="1"/>
      <w:numFmt w:val="bullet"/>
      <w:lvlText w:val=""/>
      <w:lvlJc w:val="left"/>
      <w:pPr>
        <w:ind w:left="1620" w:hanging="360"/>
      </w:pPr>
      <w:rPr>
        <w:rFonts w:ascii="Wingdings" w:hAnsi="Wingdings" w:hint="default"/>
      </w:rPr>
    </w:lvl>
    <w:lvl w:ilvl="3" w:tplc="04160001" w:tentative="1">
      <w:start w:val="1"/>
      <w:numFmt w:val="bullet"/>
      <w:lvlText w:val=""/>
      <w:lvlJc w:val="left"/>
      <w:pPr>
        <w:ind w:left="2340" w:hanging="360"/>
      </w:pPr>
      <w:rPr>
        <w:rFonts w:ascii="Symbol" w:hAnsi="Symbol" w:hint="default"/>
      </w:rPr>
    </w:lvl>
    <w:lvl w:ilvl="4" w:tplc="04160003" w:tentative="1">
      <w:start w:val="1"/>
      <w:numFmt w:val="bullet"/>
      <w:lvlText w:val="o"/>
      <w:lvlJc w:val="left"/>
      <w:pPr>
        <w:ind w:left="3060" w:hanging="360"/>
      </w:pPr>
      <w:rPr>
        <w:rFonts w:ascii="Courier New" w:hAnsi="Courier New" w:cs="Courier New" w:hint="default"/>
      </w:rPr>
    </w:lvl>
    <w:lvl w:ilvl="5" w:tplc="04160005" w:tentative="1">
      <w:start w:val="1"/>
      <w:numFmt w:val="bullet"/>
      <w:lvlText w:val=""/>
      <w:lvlJc w:val="left"/>
      <w:pPr>
        <w:ind w:left="3780" w:hanging="360"/>
      </w:pPr>
      <w:rPr>
        <w:rFonts w:ascii="Wingdings" w:hAnsi="Wingdings" w:hint="default"/>
      </w:rPr>
    </w:lvl>
    <w:lvl w:ilvl="6" w:tplc="04160001" w:tentative="1">
      <w:start w:val="1"/>
      <w:numFmt w:val="bullet"/>
      <w:lvlText w:val=""/>
      <w:lvlJc w:val="left"/>
      <w:pPr>
        <w:ind w:left="4500" w:hanging="360"/>
      </w:pPr>
      <w:rPr>
        <w:rFonts w:ascii="Symbol" w:hAnsi="Symbol" w:hint="default"/>
      </w:rPr>
    </w:lvl>
    <w:lvl w:ilvl="7" w:tplc="04160003" w:tentative="1">
      <w:start w:val="1"/>
      <w:numFmt w:val="bullet"/>
      <w:lvlText w:val="o"/>
      <w:lvlJc w:val="left"/>
      <w:pPr>
        <w:ind w:left="5220" w:hanging="360"/>
      </w:pPr>
      <w:rPr>
        <w:rFonts w:ascii="Courier New" w:hAnsi="Courier New" w:cs="Courier New" w:hint="default"/>
      </w:rPr>
    </w:lvl>
    <w:lvl w:ilvl="8" w:tplc="04160005" w:tentative="1">
      <w:start w:val="1"/>
      <w:numFmt w:val="bullet"/>
      <w:lvlText w:val=""/>
      <w:lvlJc w:val="left"/>
      <w:pPr>
        <w:ind w:left="5940" w:hanging="360"/>
      </w:pPr>
      <w:rPr>
        <w:rFonts w:ascii="Wingdings" w:hAnsi="Wingdings" w:hint="default"/>
      </w:rPr>
    </w:lvl>
  </w:abstractNum>
  <w:abstractNum w:abstractNumId="1" w15:restartNumberingAfterBreak="0">
    <w:nsid w:val="46934B17"/>
    <w:multiLevelType w:val="hybridMultilevel"/>
    <w:tmpl w:val="09F2D446"/>
    <w:lvl w:ilvl="0" w:tplc="1726883A">
      <w:start w:val="1"/>
      <w:numFmt w:val="upperRoman"/>
      <w:lvlText w:val="%1."/>
      <w:lvlJc w:val="right"/>
      <w:pPr>
        <w:tabs>
          <w:tab w:val="num" w:pos="720"/>
        </w:tabs>
        <w:ind w:left="720" w:hanging="360"/>
      </w:pPr>
    </w:lvl>
    <w:lvl w:ilvl="1" w:tplc="7CF2F560">
      <w:start w:val="1"/>
      <w:numFmt w:val="upperRoman"/>
      <w:lvlText w:val="%2."/>
      <w:lvlJc w:val="right"/>
      <w:pPr>
        <w:tabs>
          <w:tab w:val="num" w:pos="1440"/>
        </w:tabs>
        <w:ind w:left="1440" w:hanging="360"/>
      </w:pPr>
    </w:lvl>
    <w:lvl w:ilvl="2" w:tplc="F9F4AE2A">
      <w:start w:val="1"/>
      <w:numFmt w:val="upperRoman"/>
      <w:lvlText w:val="%3."/>
      <w:lvlJc w:val="right"/>
      <w:pPr>
        <w:tabs>
          <w:tab w:val="num" w:pos="2160"/>
        </w:tabs>
        <w:ind w:left="2160" w:hanging="360"/>
      </w:pPr>
    </w:lvl>
    <w:lvl w:ilvl="3" w:tplc="EC089824">
      <w:start w:val="1"/>
      <w:numFmt w:val="upperRoman"/>
      <w:lvlText w:val="%4."/>
      <w:lvlJc w:val="right"/>
      <w:pPr>
        <w:tabs>
          <w:tab w:val="num" w:pos="2880"/>
        </w:tabs>
        <w:ind w:left="2880" w:hanging="360"/>
      </w:pPr>
    </w:lvl>
    <w:lvl w:ilvl="4" w:tplc="15581ACA">
      <w:start w:val="1"/>
      <w:numFmt w:val="upperRoman"/>
      <w:lvlText w:val="%5."/>
      <w:lvlJc w:val="right"/>
      <w:pPr>
        <w:tabs>
          <w:tab w:val="num" w:pos="3600"/>
        </w:tabs>
        <w:ind w:left="3600" w:hanging="360"/>
      </w:pPr>
    </w:lvl>
    <w:lvl w:ilvl="5" w:tplc="24540E06">
      <w:start w:val="1"/>
      <w:numFmt w:val="upperRoman"/>
      <w:lvlText w:val="%6."/>
      <w:lvlJc w:val="right"/>
      <w:pPr>
        <w:tabs>
          <w:tab w:val="num" w:pos="4320"/>
        </w:tabs>
        <w:ind w:left="4320" w:hanging="360"/>
      </w:pPr>
    </w:lvl>
    <w:lvl w:ilvl="6" w:tplc="73D07798">
      <w:start w:val="1"/>
      <w:numFmt w:val="upperRoman"/>
      <w:lvlText w:val="%7."/>
      <w:lvlJc w:val="right"/>
      <w:pPr>
        <w:tabs>
          <w:tab w:val="num" w:pos="5040"/>
        </w:tabs>
        <w:ind w:left="5040" w:hanging="360"/>
      </w:pPr>
    </w:lvl>
    <w:lvl w:ilvl="7" w:tplc="6D247300">
      <w:start w:val="1"/>
      <w:numFmt w:val="upperRoman"/>
      <w:lvlText w:val="%8."/>
      <w:lvlJc w:val="right"/>
      <w:pPr>
        <w:tabs>
          <w:tab w:val="num" w:pos="5760"/>
        </w:tabs>
        <w:ind w:left="5760" w:hanging="360"/>
      </w:pPr>
    </w:lvl>
    <w:lvl w:ilvl="8" w:tplc="49746D2C">
      <w:start w:val="1"/>
      <w:numFmt w:val="upperRoman"/>
      <w:lvlText w:val="%9."/>
      <w:lvlJc w:val="right"/>
      <w:pPr>
        <w:tabs>
          <w:tab w:val="num" w:pos="6480"/>
        </w:tabs>
        <w:ind w:left="6480" w:hanging="360"/>
      </w:pPr>
    </w:lvl>
  </w:abstractNum>
  <w:abstractNum w:abstractNumId="2" w15:restartNumberingAfterBreak="0">
    <w:nsid w:val="56FE241E"/>
    <w:multiLevelType w:val="hybridMultilevel"/>
    <w:tmpl w:val="948C38B2"/>
    <w:lvl w:ilvl="0" w:tplc="892CCA4A">
      <w:start w:val="1"/>
      <w:numFmt w:val="upperRoman"/>
      <w:lvlText w:val="%1"/>
      <w:lvlJc w:val="left"/>
      <w:pPr>
        <w:ind w:left="153" w:hanging="127"/>
        <w:jc w:val="left"/>
      </w:pPr>
      <w:rPr>
        <w:rFonts w:ascii="Arial" w:eastAsia="Arial" w:hAnsi="Arial" w:cs="Arial" w:hint="default"/>
        <w:w w:val="97"/>
        <w:sz w:val="22"/>
        <w:szCs w:val="22"/>
        <w:lang w:val="pt-PT" w:eastAsia="en-US" w:bidi="ar-SA"/>
      </w:rPr>
    </w:lvl>
    <w:lvl w:ilvl="1" w:tplc="07BE7260">
      <w:numFmt w:val="bullet"/>
      <w:lvlText w:val="•"/>
      <w:lvlJc w:val="left"/>
      <w:pPr>
        <w:ind w:left="1078" w:hanging="127"/>
      </w:pPr>
      <w:rPr>
        <w:rFonts w:hint="default"/>
        <w:lang w:val="pt-PT" w:eastAsia="en-US" w:bidi="ar-SA"/>
      </w:rPr>
    </w:lvl>
    <w:lvl w:ilvl="2" w:tplc="4B100706">
      <w:numFmt w:val="bullet"/>
      <w:lvlText w:val="•"/>
      <w:lvlJc w:val="left"/>
      <w:pPr>
        <w:ind w:left="1996" w:hanging="127"/>
      </w:pPr>
      <w:rPr>
        <w:rFonts w:hint="default"/>
        <w:lang w:val="pt-PT" w:eastAsia="en-US" w:bidi="ar-SA"/>
      </w:rPr>
    </w:lvl>
    <w:lvl w:ilvl="3" w:tplc="B972B8DE">
      <w:numFmt w:val="bullet"/>
      <w:lvlText w:val="•"/>
      <w:lvlJc w:val="left"/>
      <w:pPr>
        <w:ind w:left="2914" w:hanging="127"/>
      </w:pPr>
      <w:rPr>
        <w:rFonts w:hint="default"/>
        <w:lang w:val="pt-PT" w:eastAsia="en-US" w:bidi="ar-SA"/>
      </w:rPr>
    </w:lvl>
    <w:lvl w:ilvl="4" w:tplc="C832D846">
      <w:numFmt w:val="bullet"/>
      <w:lvlText w:val="•"/>
      <w:lvlJc w:val="left"/>
      <w:pPr>
        <w:ind w:left="3832" w:hanging="127"/>
      </w:pPr>
      <w:rPr>
        <w:rFonts w:hint="default"/>
        <w:lang w:val="pt-PT" w:eastAsia="en-US" w:bidi="ar-SA"/>
      </w:rPr>
    </w:lvl>
    <w:lvl w:ilvl="5" w:tplc="B66E0AB8">
      <w:numFmt w:val="bullet"/>
      <w:lvlText w:val="•"/>
      <w:lvlJc w:val="left"/>
      <w:pPr>
        <w:ind w:left="4750" w:hanging="127"/>
      </w:pPr>
      <w:rPr>
        <w:rFonts w:hint="default"/>
        <w:lang w:val="pt-PT" w:eastAsia="en-US" w:bidi="ar-SA"/>
      </w:rPr>
    </w:lvl>
    <w:lvl w:ilvl="6" w:tplc="8D543114">
      <w:numFmt w:val="bullet"/>
      <w:lvlText w:val="•"/>
      <w:lvlJc w:val="left"/>
      <w:pPr>
        <w:ind w:left="5668" w:hanging="127"/>
      </w:pPr>
      <w:rPr>
        <w:rFonts w:hint="default"/>
        <w:lang w:val="pt-PT" w:eastAsia="en-US" w:bidi="ar-SA"/>
      </w:rPr>
    </w:lvl>
    <w:lvl w:ilvl="7" w:tplc="34982FA6">
      <w:numFmt w:val="bullet"/>
      <w:lvlText w:val="•"/>
      <w:lvlJc w:val="left"/>
      <w:pPr>
        <w:ind w:left="6586" w:hanging="127"/>
      </w:pPr>
      <w:rPr>
        <w:rFonts w:hint="default"/>
        <w:lang w:val="pt-PT" w:eastAsia="en-US" w:bidi="ar-SA"/>
      </w:rPr>
    </w:lvl>
    <w:lvl w:ilvl="8" w:tplc="40926B4A">
      <w:numFmt w:val="bullet"/>
      <w:lvlText w:val="•"/>
      <w:lvlJc w:val="left"/>
      <w:pPr>
        <w:ind w:left="7504" w:hanging="127"/>
      </w:pPr>
      <w:rPr>
        <w:rFonts w:hint="default"/>
        <w:lang w:val="pt-PT" w:eastAsia="en-US" w:bidi="ar-SA"/>
      </w:rPr>
    </w:lvl>
  </w:abstractNum>
  <w:num w:numId="1" w16cid:durableId="421031412">
    <w:abstractNumId w:val="0"/>
  </w:num>
  <w:num w:numId="2" w16cid:durableId="1120731496">
    <w:abstractNumId w:val="2"/>
  </w:num>
  <w:num w:numId="3" w16cid:durableId="352656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E8"/>
    <w:rsid w:val="00001F0E"/>
    <w:rsid w:val="00015A85"/>
    <w:rsid w:val="00017DDA"/>
    <w:rsid w:val="000315DB"/>
    <w:rsid w:val="00034009"/>
    <w:rsid w:val="00035381"/>
    <w:rsid w:val="0005654B"/>
    <w:rsid w:val="00061FA8"/>
    <w:rsid w:val="00070709"/>
    <w:rsid w:val="00073972"/>
    <w:rsid w:val="00081FFF"/>
    <w:rsid w:val="000823E1"/>
    <w:rsid w:val="0008322D"/>
    <w:rsid w:val="00091BA3"/>
    <w:rsid w:val="000A0ECA"/>
    <w:rsid w:val="000A116B"/>
    <w:rsid w:val="000A2081"/>
    <w:rsid w:val="000C7A4D"/>
    <w:rsid w:val="000D5DE9"/>
    <w:rsid w:val="000F48D5"/>
    <w:rsid w:val="000F7928"/>
    <w:rsid w:val="00115BDD"/>
    <w:rsid w:val="0013086D"/>
    <w:rsid w:val="0014249B"/>
    <w:rsid w:val="00152485"/>
    <w:rsid w:val="00154E52"/>
    <w:rsid w:val="00171886"/>
    <w:rsid w:val="001746C6"/>
    <w:rsid w:val="001760CD"/>
    <w:rsid w:val="00196727"/>
    <w:rsid w:val="00196C83"/>
    <w:rsid w:val="001A3594"/>
    <w:rsid w:val="001B76E8"/>
    <w:rsid w:val="001C2921"/>
    <w:rsid w:val="001C77BB"/>
    <w:rsid w:val="001D203F"/>
    <w:rsid w:val="001D6403"/>
    <w:rsid w:val="001E2221"/>
    <w:rsid w:val="001E2C2B"/>
    <w:rsid w:val="001E3BD8"/>
    <w:rsid w:val="00201D09"/>
    <w:rsid w:val="00210999"/>
    <w:rsid w:val="002114C8"/>
    <w:rsid w:val="00223DBE"/>
    <w:rsid w:val="00232A78"/>
    <w:rsid w:val="0023552F"/>
    <w:rsid w:val="002571DE"/>
    <w:rsid w:val="002924C8"/>
    <w:rsid w:val="002B467B"/>
    <w:rsid w:val="00305CB8"/>
    <w:rsid w:val="00312977"/>
    <w:rsid w:val="00322D6A"/>
    <w:rsid w:val="0032622F"/>
    <w:rsid w:val="00343C15"/>
    <w:rsid w:val="003551F2"/>
    <w:rsid w:val="003765FA"/>
    <w:rsid w:val="00383156"/>
    <w:rsid w:val="00387603"/>
    <w:rsid w:val="003B2737"/>
    <w:rsid w:val="003B3991"/>
    <w:rsid w:val="003B3E5F"/>
    <w:rsid w:val="003C6EB6"/>
    <w:rsid w:val="003D5455"/>
    <w:rsid w:val="003D6680"/>
    <w:rsid w:val="00404275"/>
    <w:rsid w:val="00406ADB"/>
    <w:rsid w:val="004102C2"/>
    <w:rsid w:val="0041360B"/>
    <w:rsid w:val="00415FB2"/>
    <w:rsid w:val="00415FD9"/>
    <w:rsid w:val="004204D1"/>
    <w:rsid w:val="004218B5"/>
    <w:rsid w:val="00440A27"/>
    <w:rsid w:val="00443C23"/>
    <w:rsid w:val="0045569A"/>
    <w:rsid w:val="004652BD"/>
    <w:rsid w:val="00475C04"/>
    <w:rsid w:val="004865D1"/>
    <w:rsid w:val="0049301A"/>
    <w:rsid w:val="00493D38"/>
    <w:rsid w:val="004B1CEF"/>
    <w:rsid w:val="004B361C"/>
    <w:rsid w:val="004C44F2"/>
    <w:rsid w:val="00507ED4"/>
    <w:rsid w:val="0052200A"/>
    <w:rsid w:val="00534F07"/>
    <w:rsid w:val="005364D2"/>
    <w:rsid w:val="00553C74"/>
    <w:rsid w:val="00562973"/>
    <w:rsid w:val="0056766A"/>
    <w:rsid w:val="00570686"/>
    <w:rsid w:val="00594BD5"/>
    <w:rsid w:val="005A2B77"/>
    <w:rsid w:val="005A3C8B"/>
    <w:rsid w:val="005A567F"/>
    <w:rsid w:val="005A6136"/>
    <w:rsid w:val="005B09B6"/>
    <w:rsid w:val="005B432D"/>
    <w:rsid w:val="005B657F"/>
    <w:rsid w:val="005C39AD"/>
    <w:rsid w:val="005D0B1E"/>
    <w:rsid w:val="005E7355"/>
    <w:rsid w:val="005F01E3"/>
    <w:rsid w:val="00612CFA"/>
    <w:rsid w:val="00617033"/>
    <w:rsid w:val="00651260"/>
    <w:rsid w:val="00662467"/>
    <w:rsid w:val="00674948"/>
    <w:rsid w:val="00674991"/>
    <w:rsid w:val="006800C1"/>
    <w:rsid w:val="006A4B8A"/>
    <w:rsid w:val="006B2427"/>
    <w:rsid w:val="006D76FB"/>
    <w:rsid w:val="006D7AF9"/>
    <w:rsid w:val="006E15C7"/>
    <w:rsid w:val="006E6FBA"/>
    <w:rsid w:val="006E7D1B"/>
    <w:rsid w:val="006F34B8"/>
    <w:rsid w:val="0075102C"/>
    <w:rsid w:val="00751ABD"/>
    <w:rsid w:val="00753883"/>
    <w:rsid w:val="0076729E"/>
    <w:rsid w:val="007734C9"/>
    <w:rsid w:val="0078419B"/>
    <w:rsid w:val="00787D44"/>
    <w:rsid w:val="00797AB6"/>
    <w:rsid w:val="007D39E5"/>
    <w:rsid w:val="007F6AAE"/>
    <w:rsid w:val="00801F95"/>
    <w:rsid w:val="00814EB8"/>
    <w:rsid w:val="0081763A"/>
    <w:rsid w:val="008212A9"/>
    <w:rsid w:val="0083281A"/>
    <w:rsid w:val="008422C8"/>
    <w:rsid w:val="00846FFD"/>
    <w:rsid w:val="00853CEF"/>
    <w:rsid w:val="008610A5"/>
    <w:rsid w:val="00877A40"/>
    <w:rsid w:val="008941D4"/>
    <w:rsid w:val="008A64E6"/>
    <w:rsid w:val="008A78C6"/>
    <w:rsid w:val="008C2831"/>
    <w:rsid w:val="008C729F"/>
    <w:rsid w:val="008D6B7A"/>
    <w:rsid w:val="008E15D2"/>
    <w:rsid w:val="008E2229"/>
    <w:rsid w:val="008E73B9"/>
    <w:rsid w:val="00902978"/>
    <w:rsid w:val="0090425C"/>
    <w:rsid w:val="00911FAD"/>
    <w:rsid w:val="00921A69"/>
    <w:rsid w:val="009239AF"/>
    <w:rsid w:val="0092458F"/>
    <w:rsid w:val="00955CFC"/>
    <w:rsid w:val="00956EF3"/>
    <w:rsid w:val="009676DB"/>
    <w:rsid w:val="009733BC"/>
    <w:rsid w:val="00973511"/>
    <w:rsid w:val="00982969"/>
    <w:rsid w:val="0099748F"/>
    <w:rsid w:val="009A0814"/>
    <w:rsid w:val="009A0953"/>
    <w:rsid w:val="009B097E"/>
    <w:rsid w:val="009B56A3"/>
    <w:rsid w:val="009C1293"/>
    <w:rsid w:val="009C60CE"/>
    <w:rsid w:val="009E3A3F"/>
    <w:rsid w:val="009E4FC4"/>
    <w:rsid w:val="009F0989"/>
    <w:rsid w:val="009F6617"/>
    <w:rsid w:val="00A17BA3"/>
    <w:rsid w:val="00A2613A"/>
    <w:rsid w:val="00A279AA"/>
    <w:rsid w:val="00A34D1B"/>
    <w:rsid w:val="00A5315D"/>
    <w:rsid w:val="00A602B6"/>
    <w:rsid w:val="00A62A88"/>
    <w:rsid w:val="00A6529B"/>
    <w:rsid w:val="00A65553"/>
    <w:rsid w:val="00A655E1"/>
    <w:rsid w:val="00A763E6"/>
    <w:rsid w:val="00A926C7"/>
    <w:rsid w:val="00AA3F27"/>
    <w:rsid w:val="00AA5CA2"/>
    <w:rsid w:val="00AC5EED"/>
    <w:rsid w:val="00AE26F7"/>
    <w:rsid w:val="00AE6545"/>
    <w:rsid w:val="00B07CB5"/>
    <w:rsid w:val="00B1141D"/>
    <w:rsid w:val="00B35A48"/>
    <w:rsid w:val="00B41C0E"/>
    <w:rsid w:val="00B45042"/>
    <w:rsid w:val="00B571C5"/>
    <w:rsid w:val="00B655EA"/>
    <w:rsid w:val="00B71F49"/>
    <w:rsid w:val="00B72743"/>
    <w:rsid w:val="00B743C1"/>
    <w:rsid w:val="00B779EF"/>
    <w:rsid w:val="00B87463"/>
    <w:rsid w:val="00B87904"/>
    <w:rsid w:val="00B9484B"/>
    <w:rsid w:val="00B96B02"/>
    <w:rsid w:val="00BA2AE8"/>
    <w:rsid w:val="00BA34FC"/>
    <w:rsid w:val="00BB28CD"/>
    <w:rsid w:val="00BB752C"/>
    <w:rsid w:val="00BD265F"/>
    <w:rsid w:val="00BE52F7"/>
    <w:rsid w:val="00BE7416"/>
    <w:rsid w:val="00BF2938"/>
    <w:rsid w:val="00BF472A"/>
    <w:rsid w:val="00BF507A"/>
    <w:rsid w:val="00BF549F"/>
    <w:rsid w:val="00C01A58"/>
    <w:rsid w:val="00C41C2E"/>
    <w:rsid w:val="00C445D3"/>
    <w:rsid w:val="00C52CC6"/>
    <w:rsid w:val="00C61AAB"/>
    <w:rsid w:val="00C625C3"/>
    <w:rsid w:val="00C63769"/>
    <w:rsid w:val="00C76C72"/>
    <w:rsid w:val="00C82364"/>
    <w:rsid w:val="00CA5BB8"/>
    <w:rsid w:val="00CA7FAB"/>
    <w:rsid w:val="00CB0312"/>
    <w:rsid w:val="00CC792C"/>
    <w:rsid w:val="00CE5FBC"/>
    <w:rsid w:val="00CF09FD"/>
    <w:rsid w:val="00CF37A4"/>
    <w:rsid w:val="00CF54BF"/>
    <w:rsid w:val="00D3200F"/>
    <w:rsid w:val="00D5141E"/>
    <w:rsid w:val="00D51DE6"/>
    <w:rsid w:val="00D51EDA"/>
    <w:rsid w:val="00D52ED8"/>
    <w:rsid w:val="00D5598C"/>
    <w:rsid w:val="00D91B8A"/>
    <w:rsid w:val="00DA5A12"/>
    <w:rsid w:val="00DC3A7F"/>
    <w:rsid w:val="00DF0417"/>
    <w:rsid w:val="00E053D1"/>
    <w:rsid w:val="00E13791"/>
    <w:rsid w:val="00E22184"/>
    <w:rsid w:val="00E34CCF"/>
    <w:rsid w:val="00E47D05"/>
    <w:rsid w:val="00E53393"/>
    <w:rsid w:val="00E53439"/>
    <w:rsid w:val="00E63F59"/>
    <w:rsid w:val="00E713D7"/>
    <w:rsid w:val="00E750A0"/>
    <w:rsid w:val="00E80639"/>
    <w:rsid w:val="00E82333"/>
    <w:rsid w:val="00EA563B"/>
    <w:rsid w:val="00EB0245"/>
    <w:rsid w:val="00EC1FE8"/>
    <w:rsid w:val="00ED1E16"/>
    <w:rsid w:val="00EF2C0E"/>
    <w:rsid w:val="00EF43E9"/>
    <w:rsid w:val="00F1109F"/>
    <w:rsid w:val="00F35B21"/>
    <w:rsid w:val="00F37AB0"/>
    <w:rsid w:val="00F42C05"/>
    <w:rsid w:val="00F659C1"/>
    <w:rsid w:val="00F7473A"/>
    <w:rsid w:val="00F75A77"/>
    <w:rsid w:val="00F93207"/>
    <w:rsid w:val="00FB7291"/>
    <w:rsid w:val="00FB79CE"/>
    <w:rsid w:val="00FC066D"/>
    <w:rsid w:val="00FC34CD"/>
    <w:rsid w:val="00FD6CE3"/>
    <w:rsid w:val="00FE3371"/>
    <w:rsid w:val="00FE46A8"/>
    <w:rsid w:val="00FF0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81EBA"/>
  <w15:docId w15:val="{36EDC32B-FD86-420D-81C2-3765F46B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sz w:val="28"/>
      <w:szCs w:val="28"/>
      <w:lang w:val="es-ES_tradnl"/>
    </w:rPr>
  </w:style>
  <w:style w:type="paragraph" w:styleId="Ttulo2">
    <w:name w:val="heading 2"/>
    <w:basedOn w:val="Normal"/>
    <w:next w:val="Normal"/>
    <w:qFormat/>
    <w:pPr>
      <w:keepNext/>
      <w:jc w:val="center"/>
      <w:outlineLvl w:val="1"/>
    </w:pPr>
    <w:rPr>
      <w:b/>
      <w:sz w:val="28"/>
      <w:szCs w:val="28"/>
    </w:rPr>
  </w:style>
  <w:style w:type="paragraph" w:styleId="Ttulo3">
    <w:name w:val="heading 3"/>
    <w:basedOn w:val="Normal"/>
    <w:next w:val="Normal"/>
    <w:qFormat/>
    <w:pPr>
      <w:keepNext/>
      <w:jc w:val="both"/>
      <w:outlineLvl w:val="2"/>
    </w:pPr>
    <w:rPr>
      <w:rFonts w:ascii="Arial" w:hAnsi="Arial"/>
      <w:b/>
    </w:rPr>
  </w:style>
  <w:style w:type="paragraph" w:styleId="Ttulo4">
    <w:name w:val="heading 4"/>
    <w:basedOn w:val="Normal"/>
    <w:next w:val="Normal"/>
    <w:qFormat/>
    <w:pPr>
      <w:keepNext/>
      <w:ind w:left="1980"/>
      <w:jc w:val="both"/>
      <w:outlineLvl w:val="3"/>
    </w:pPr>
    <w:rPr>
      <w:rFonts w:ascii="Arial" w:hAnsi="Arial"/>
      <w:b/>
      <w:sz w:val="22"/>
      <w:u w:val="single"/>
    </w:rPr>
  </w:style>
  <w:style w:type="paragraph" w:styleId="Ttulo5">
    <w:name w:val="heading 5"/>
    <w:basedOn w:val="Normal"/>
    <w:next w:val="Normal"/>
    <w:qFormat/>
    <w:pPr>
      <w:keepNext/>
      <w:jc w:val="both"/>
      <w:outlineLvl w:val="4"/>
    </w:pPr>
    <w:rPr>
      <w:b/>
      <w:sz w:val="28"/>
    </w:rPr>
  </w:style>
  <w:style w:type="paragraph" w:styleId="Ttulo6">
    <w:name w:val="heading 6"/>
    <w:basedOn w:val="Normal"/>
    <w:next w:val="Normal"/>
    <w:qFormat/>
    <w:pPr>
      <w:keepNext/>
      <w:jc w:val="center"/>
      <w:outlineLvl w:val="5"/>
    </w:pPr>
    <w:rPr>
      <w:b/>
      <w:bCs/>
      <w:sz w:val="26"/>
    </w:rPr>
  </w:style>
  <w:style w:type="paragraph" w:styleId="Ttulo7">
    <w:name w:val="heading 7"/>
    <w:basedOn w:val="Normal"/>
    <w:next w:val="Normal"/>
    <w:link w:val="Ttulo7Char"/>
    <w:semiHidden/>
    <w:unhideWhenUsed/>
    <w:qFormat/>
    <w:rsid w:val="008C729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rPr>
  </w:style>
  <w:style w:type="paragraph" w:styleId="Recuodecorpodetexto">
    <w:name w:val="Body Text Indent"/>
    <w:basedOn w:val="Normal"/>
    <w:pPr>
      <w:ind w:left="2340"/>
      <w:jc w:val="both"/>
    </w:pPr>
    <w:rPr>
      <w:b/>
      <w:bCs/>
    </w:rPr>
  </w:style>
  <w:style w:type="paragraph" w:styleId="Recuodecorpodetexto2">
    <w:name w:val="Body Text Indent 2"/>
    <w:basedOn w:val="Normal"/>
    <w:pPr>
      <w:ind w:firstLine="2340"/>
      <w:jc w:val="both"/>
    </w:pPr>
    <w:rPr>
      <w:sz w:val="28"/>
      <w:szCs w:val="28"/>
    </w:rPr>
  </w:style>
  <w:style w:type="paragraph" w:styleId="Recuodecorpodetexto3">
    <w:name w:val="Body Text Indent 3"/>
    <w:basedOn w:val="Normal"/>
    <w:pPr>
      <w:ind w:firstLine="1080"/>
      <w:jc w:val="both"/>
    </w:pPr>
  </w:style>
  <w:style w:type="paragraph" w:styleId="Textodebalo">
    <w:name w:val="Balloon Text"/>
    <w:basedOn w:val="Normal"/>
    <w:semiHidden/>
    <w:rsid w:val="00BF549F"/>
    <w:rPr>
      <w:rFonts w:ascii="Tahoma" w:hAnsi="Tahoma" w:cs="Tahoma"/>
      <w:sz w:val="16"/>
      <w:szCs w:val="16"/>
    </w:rPr>
  </w:style>
  <w:style w:type="paragraph" w:styleId="Corpodetexto2">
    <w:name w:val="Body Text 2"/>
    <w:basedOn w:val="Normal"/>
    <w:link w:val="Corpodetexto2Char"/>
    <w:rsid w:val="009239AF"/>
    <w:pPr>
      <w:spacing w:after="120" w:line="480" w:lineRule="auto"/>
    </w:pPr>
  </w:style>
  <w:style w:type="character" w:customStyle="1" w:styleId="Corpodetexto2Char">
    <w:name w:val="Corpo de texto 2 Char"/>
    <w:basedOn w:val="Fontepargpadro"/>
    <w:link w:val="Corpodetexto2"/>
    <w:rsid w:val="009239AF"/>
    <w:rPr>
      <w:sz w:val="24"/>
      <w:szCs w:val="24"/>
    </w:rPr>
  </w:style>
  <w:style w:type="table" w:styleId="Tabelacomgrade">
    <w:name w:val="Table Grid"/>
    <w:basedOn w:val="Tabelanormal"/>
    <w:rsid w:val="0021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5F01E3"/>
    <w:rPr>
      <w:b/>
      <w:bCs/>
    </w:rPr>
  </w:style>
  <w:style w:type="paragraph" w:styleId="PargrafodaLista">
    <w:name w:val="List Paragraph"/>
    <w:basedOn w:val="Normal"/>
    <w:uiPriority w:val="1"/>
    <w:qFormat/>
    <w:rsid w:val="00232A78"/>
    <w:pPr>
      <w:ind w:left="720"/>
      <w:contextualSpacing/>
    </w:pPr>
  </w:style>
  <w:style w:type="paragraph" w:styleId="Corpodetexto">
    <w:name w:val="Body Text"/>
    <w:basedOn w:val="Normal"/>
    <w:link w:val="CorpodetextoChar"/>
    <w:semiHidden/>
    <w:unhideWhenUsed/>
    <w:rsid w:val="00BF507A"/>
    <w:pPr>
      <w:spacing w:after="120"/>
    </w:pPr>
  </w:style>
  <w:style w:type="character" w:customStyle="1" w:styleId="CorpodetextoChar">
    <w:name w:val="Corpo de texto Char"/>
    <w:basedOn w:val="Fontepargpadro"/>
    <w:link w:val="Corpodetexto"/>
    <w:semiHidden/>
    <w:rsid w:val="00BF507A"/>
    <w:rPr>
      <w:sz w:val="24"/>
      <w:szCs w:val="24"/>
    </w:rPr>
  </w:style>
  <w:style w:type="character" w:customStyle="1" w:styleId="Ttulo7Char">
    <w:name w:val="Título 7 Char"/>
    <w:basedOn w:val="Fontepargpadro"/>
    <w:link w:val="Ttulo7"/>
    <w:semiHidden/>
    <w:rsid w:val="008C729F"/>
    <w:rPr>
      <w:rFonts w:asciiTheme="majorHAnsi" w:eastAsiaTheme="majorEastAsia" w:hAnsiTheme="majorHAnsi" w:cstheme="majorBidi"/>
      <w:i/>
      <w:iCs/>
      <w:color w:val="243F60" w:themeColor="accent1" w:themeShade="7F"/>
      <w:sz w:val="24"/>
      <w:szCs w:val="24"/>
    </w:rPr>
  </w:style>
  <w:style w:type="character" w:customStyle="1" w:styleId="EstiloLei1Char">
    <w:name w:val="EstiloLei1 Char"/>
    <w:link w:val="EstiloLei1"/>
    <w:locked/>
    <w:rsid w:val="00E34CCF"/>
    <w:rPr>
      <w:rFonts w:ascii="Arial" w:hAnsi="Arial" w:cs="Arial"/>
      <w:b/>
      <w:sz w:val="24"/>
      <w:lang w:val="x-none" w:eastAsia="x-none"/>
    </w:rPr>
  </w:style>
  <w:style w:type="paragraph" w:customStyle="1" w:styleId="EstiloLei1">
    <w:name w:val="EstiloLei1"/>
    <w:basedOn w:val="Normal"/>
    <w:link w:val="EstiloLei1Char"/>
    <w:qFormat/>
    <w:rsid w:val="00E34CCF"/>
    <w:pPr>
      <w:jc w:val="center"/>
    </w:pPr>
    <w:rPr>
      <w:rFonts w:ascii="Arial" w:hAnsi="Arial" w:cs="Arial"/>
      <w:b/>
      <w:szCs w:val="20"/>
      <w:lang w:val="x-none" w:eastAsia="x-none"/>
    </w:rPr>
  </w:style>
  <w:style w:type="character" w:customStyle="1" w:styleId="EstiloLei2Char">
    <w:name w:val="EstiloLei2 Char"/>
    <w:link w:val="EstiloLei2"/>
    <w:locked/>
    <w:rsid w:val="00E34CCF"/>
    <w:rPr>
      <w:rFonts w:ascii="Arial" w:hAnsi="Arial" w:cs="Arial"/>
      <w:b/>
      <w:sz w:val="24"/>
      <w:lang w:val="x-none" w:eastAsia="x-none"/>
    </w:rPr>
  </w:style>
  <w:style w:type="paragraph" w:customStyle="1" w:styleId="EstiloLei2">
    <w:name w:val="EstiloLei2"/>
    <w:basedOn w:val="Normal"/>
    <w:link w:val="EstiloLei2Char"/>
    <w:qFormat/>
    <w:rsid w:val="00E34CCF"/>
    <w:pPr>
      <w:jc w:val="center"/>
    </w:pPr>
    <w:rPr>
      <w:rFonts w:ascii="Arial" w:hAnsi="Arial" w:cs="Arial"/>
      <w:b/>
      <w:szCs w:val="20"/>
      <w:lang w:val="x-none" w:eastAsia="x-none"/>
    </w:rPr>
  </w:style>
  <w:style w:type="character" w:customStyle="1" w:styleId="EstiloLei3Char">
    <w:name w:val="EstiloLei3 Char"/>
    <w:link w:val="EstiloLei3"/>
    <w:locked/>
    <w:rsid w:val="00E34CCF"/>
    <w:rPr>
      <w:rFonts w:ascii="Arial" w:hAnsi="Arial" w:cs="Arial"/>
      <w:b/>
      <w:bCs/>
      <w:sz w:val="24"/>
      <w:lang w:val="x-none" w:eastAsia="x-none"/>
    </w:rPr>
  </w:style>
  <w:style w:type="paragraph" w:customStyle="1" w:styleId="EstiloLei3">
    <w:name w:val="EstiloLei3"/>
    <w:basedOn w:val="Normal"/>
    <w:link w:val="EstiloLei3Char"/>
    <w:qFormat/>
    <w:rsid w:val="00E34CCF"/>
    <w:pPr>
      <w:jc w:val="center"/>
    </w:pPr>
    <w:rPr>
      <w:rFonts w:ascii="Arial" w:hAnsi="Arial" w:cs="Arial"/>
      <w:b/>
      <w:bCs/>
      <w:szCs w:val="20"/>
      <w:lang w:val="x-none" w:eastAsia="x-none"/>
    </w:rPr>
  </w:style>
  <w:style w:type="character" w:customStyle="1" w:styleId="EstiloLei4Char">
    <w:name w:val="EstiloLei4 Char"/>
    <w:basedOn w:val="Fontepargpadro"/>
    <w:link w:val="EstiloLei4"/>
    <w:locked/>
    <w:rsid w:val="00E34CCF"/>
    <w:rPr>
      <w:rFonts w:ascii="Arial" w:eastAsiaTheme="majorEastAsia" w:hAnsi="Arial" w:cstheme="majorBidi"/>
      <w:b/>
      <w:bCs/>
      <w:color w:val="243F60" w:themeColor="accent1" w:themeShade="7F"/>
      <w:sz w:val="24"/>
      <w:szCs w:val="24"/>
      <w:lang w:val="x-none" w:eastAsia="x-none"/>
    </w:rPr>
  </w:style>
  <w:style w:type="paragraph" w:customStyle="1" w:styleId="EstiloLei4">
    <w:name w:val="EstiloLei4"/>
    <w:basedOn w:val="Ttulo6"/>
    <w:link w:val="EstiloLei4Char"/>
    <w:qFormat/>
    <w:rsid w:val="00E34CCF"/>
    <w:rPr>
      <w:rFonts w:ascii="Arial" w:eastAsiaTheme="majorEastAsia" w:hAnsi="Arial" w:cstheme="majorBidi"/>
      <w:color w:val="243F60" w:themeColor="accent1" w:themeShade="7F"/>
      <w:sz w:val="24"/>
      <w:lang w:val="x-none" w:eastAsia="x-none"/>
    </w:rPr>
  </w:style>
  <w:style w:type="paragraph" w:customStyle="1" w:styleId="EstiloLei2a">
    <w:name w:val="EstiloLei2a"/>
    <w:basedOn w:val="EstiloLei2"/>
    <w:link w:val="EstiloLei2aChar"/>
    <w:qFormat/>
    <w:rsid w:val="00E13791"/>
    <w:pPr>
      <w:spacing w:line="360" w:lineRule="auto"/>
    </w:pPr>
  </w:style>
  <w:style w:type="character" w:customStyle="1" w:styleId="EstiloLei2aChar">
    <w:name w:val="EstiloLei2a Char"/>
    <w:basedOn w:val="EstiloLei2Char"/>
    <w:link w:val="EstiloLei2a"/>
    <w:rsid w:val="00E13791"/>
    <w:rPr>
      <w:rFonts w:ascii="Arial" w:hAnsi="Arial" w:cs="Arial"/>
      <w:b/>
      <w:sz w:val="24"/>
      <w:lang w:val="x-none" w:eastAsia="x-none"/>
    </w:rPr>
  </w:style>
  <w:style w:type="paragraph" w:customStyle="1" w:styleId="EstiloLei3b">
    <w:name w:val="EstiloLei3b"/>
    <w:basedOn w:val="EstiloLei3"/>
    <w:link w:val="EstiloLei3bChar"/>
    <w:qFormat/>
    <w:rsid w:val="00E13791"/>
    <w:pPr>
      <w:spacing w:line="360" w:lineRule="auto"/>
    </w:pPr>
  </w:style>
  <w:style w:type="paragraph" w:customStyle="1" w:styleId="EstiloLei4b">
    <w:name w:val="EstiloLei4b"/>
    <w:basedOn w:val="EstiloLei4"/>
    <w:link w:val="EstiloLei4bChar"/>
    <w:qFormat/>
    <w:rsid w:val="00E13791"/>
    <w:pPr>
      <w:spacing w:line="360" w:lineRule="auto"/>
    </w:pPr>
  </w:style>
  <w:style w:type="character" w:customStyle="1" w:styleId="EstiloLei3bChar">
    <w:name w:val="EstiloLei3b Char"/>
    <w:basedOn w:val="EstiloLei3Char"/>
    <w:link w:val="EstiloLei3b"/>
    <w:rsid w:val="00E13791"/>
    <w:rPr>
      <w:rFonts w:ascii="Arial" w:hAnsi="Arial" w:cs="Arial"/>
      <w:b/>
      <w:bCs/>
      <w:sz w:val="24"/>
      <w:lang w:val="x-none" w:eastAsia="x-none"/>
    </w:rPr>
  </w:style>
  <w:style w:type="character" w:customStyle="1" w:styleId="EstiloLei4bChar">
    <w:name w:val="EstiloLei4b Char"/>
    <w:basedOn w:val="EstiloLei4Char"/>
    <w:link w:val="EstiloLei4b"/>
    <w:rsid w:val="00E13791"/>
    <w:rPr>
      <w:rFonts w:ascii="Arial" w:eastAsiaTheme="majorEastAsia" w:hAnsi="Arial" w:cstheme="majorBidi"/>
      <w:b/>
      <w:bCs/>
      <w:color w:val="243F60" w:themeColor="accent1" w:themeShade="7F"/>
      <w:sz w:val="24"/>
      <w:szCs w:val="24"/>
      <w:lang w:val="x-none" w:eastAsia="x-none"/>
    </w:rPr>
  </w:style>
  <w:style w:type="paragraph" w:customStyle="1" w:styleId="Estilo2c">
    <w:name w:val="Estilo2c"/>
    <w:basedOn w:val="Normal"/>
    <w:link w:val="Estilo2cChar"/>
    <w:qFormat/>
    <w:rsid w:val="00E13791"/>
    <w:pPr>
      <w:spacing w:line="360" w:lineRule="auto"/>
      <w:jc w:val="center"/>
    </w:pPr>
    <w:rPr>
      <w:rFonts w:ascii="Arial" w:hAnsi="Arial"/>
      <w:b/>
      <w:szCs w:val="20"/>
      <w:lang w:val="x-none" w:eastAsia="x-none"/>
    </w:rPr>
  </w:style>
  <w:style w:type="character" w:customStyle="1" w:styleId="Estilo2cChar">
    <w:name w:val="Estilo2c Char"/>
    <w:link w:val="Estilo2c"/>
    <w:rsid w:val="00E13791"/>
    <w:rPr>
      <w:rFonts w:ascii="Arial" w:hAnsi="Arial"/>
      <w:b/>
      <w:sz w:val="24"/>
      <w:lang w:val="x-none" w:eastAsia="x-none"/>
    </w:rPr>
  </w:style>
  <w:style w:type="paragraph" w:customStyle="1" w:styleId="Parcelamento1">
    <w:name w:val="Parcelamento1"/>
    <w:basedOn w:val="Normal"/>
    <w:link w:val="Parcelamento1Char"/>
    <w:qFormat/>
    <w:rsid w:val="009E3A3F"/>
    <w:pPr>
      <w:spacing w:line="360" w:lineRule="auto"/>
      <w:jc w:val="center"/>
    </w:pPr>
    <w:rPr>
      <w:rFonts w:ascii="Arial" w:hAnsi="Arial"/>
      <w:b/>
      <w:szCs w:val="20"/>
      <w:lang w:val="x-none" w:eastAsia="x-none"/>
    </w:rPr>
  </w:style>
  <w:style w:type="paragraph" w:customStyle="1" w:styleId="Parcelamento2">
    <w:name w:val="Parcelamento2"/>
    <w:basedOn w:val="EstiloLei2a"/>
    <w:link w:val="Parcelamento2Char"/>
    <w:qFormat/>
    <w:rsid w:val="009E3A3F"/>
  </w:style>
  <w:style w:type="character" w:customStyle="1" w:styleId="Parcelamento1Char">
    <w:name w:val="Parcelamento1 Char"/>
    <w:basedOn w:val="Fontepargpadro"/>
    <w:link w:val="Parcelamento1"/>
    <w:rsid w:val="009E3A3F"/>
    <w:rPr>
      <w:rFonts w:ascii="Arial" w:hAnsi="Arial"/>
      <w:b/>
      <w:sz w:val="24"/>
      <w:lang w:val="x-none" w:eastAsia="x-none"/>
    </w:rPr>
  </w:style>
  <w:style w:type="character" w:customStyle="1" w:styleId="Parcelamento2Char">
    <w:name w:val="Parcelamento2 Char"/>
    <w:basedOn w:val="EstiloLei2aChar"/>
    <w:link w:val="Parcelamento2"/>
    <w:rsid w:val="009E3A3F"/>
    <w:rPr>
      <w:rFonts w:ascii="Arial" w:hAnsi="Arial" w:cs="Arial"/>
      <w:b/>
      <w:sz w:val="24"/>
      <w:lang w:val="x-none" w:eastAsia="x-none"/>
    </w:rPr>
  </w:style>
  <w:style w:type="paragraph" w:customStyle="1" w:styleId="Parcelamento3">
    <w:name w:val="Parcelamento3"/>
    <w:basedOn w:val="Normal"/>
    <w:link w:val="Parcelamento3Char"/>
    <w:qFormat/>
    <w:rsid w:val="009E3A3F"/>
    <w:pPr>
      <w:spacing w:line="360" w:lineRule="auto"/>
      <w:jc w:val="center"/>
    </w:pPr>
    <w:rPr>
      <w:rFonts w:ascii="Arial" w:hAnsi="Arial"/>
      <w:b/>
      <w:lang w:val="x-none" w:eastAsia="x-none"/>
    </w:rPr>
  </w:style>
  <w:style w:type="paragraph" w:customStyle="1" w:styleId="Parcelamento4">
    <w:name w:val="Parcelamento 4"/>
    <w:basedOn w:val="Normal"/>
    <w:link w:val="Parcelamento4Char"/>
    <w:qFormat/>
    <w:rsid w:val="009E3A3F"/>
    <w:pPr>
      <w:spacing w:line="360" w:lineRule="auto"/>
      <w:jc w:val="center"/>
    </w:pPr>
    <w:rPr>
      <w:rFonts w:ascii="Arial" w:hAnsi="Arial"/>
      <w:b/>
      <w:lang w:val="x-none" w:eastAsia="x-none"/>
    </w:rPr>
  </w:style>
  <w:style w:type="character" w:customStyle="1" w:styleId="Parcelamento3Char">
    <w:name w:val="Parcelamento3 Char"/>
    <w:link w:val="Parcelamento3"/>
    <w:rsid w:val="009E3A3F"/>
    <w:rPr>
      <w:rFonts w:ascii="Arial" w:hAnsi="Arial"/>
      <w:b/>
      <w:sz w:val="24"/>
      <w:szCs w:val="24"/>
      <w:lang w:val="x-none" w:eastAsia="x-none"/>
    </w:rPr>
  </w:style>
  <w:style w:type="character" w:customStyle="1" w:styleId="Parcelamento4Char">
    <w:name w:val="Parcelamento 4 Char"/>
    <w:link w:val="Parcelamento4"/>
    <w:rsid w:val="009E3A3F"/>
    <w:rPr>
      <w:rFonts w:ascii="Arial" w:hAnsi="Arial"/>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4685">
      <w:bodyDiv w:val="1"/>
      <w:marLeft w:val="0"/>
      <w:marRight w:val="0"/>
      <w:marTop w:val="0"/>
      <w:marBottom w:val="0"/>
      <w:divBdr>
        <w:top w:val="none" w:sz="0" w:space="0" w:color="auto"/>
        <w:left w:val="none" w:sz="0" w:space="0" w:color="auto"/>
        <w:bottom w:val="none" w:sz="0" w:space="0" w:color="auto"/>
        <w:right w:val="none" w:sz="0" w:space="0" w:color="auto"/>
      </w:divBdr>
    </w:div>
    <w:div w:id="364982304">
      <w:bodyDiv w:val="1"/>
      <w:marLeft w:val="0"/>
      <w:marRight w:val="0"/>
      <w:marTop w:val="0"/>
      <w:marBottom w:val="0"/>
      <w:divBdr>
        <w:top w:val="none" w:sz="0" w:space="0" w:color="auto"/>
        <w:left w:val="none" w:sz="0" w:space="0" w:color="auto"/>
        <w:bottom w:val="none" w:sz="0" w:space="0" w:color="auto"/>
        <w:right w:val="none" w:sz="0" w:space="0" w:color="auto"/>
      </w:divBdr>
    </w:div>
    <w:div w:id="1831289909">
      <w:bodyDiv w:val="1"/>
      <w:marLeft w:val="0"/>
      <w:marRight w:val="0"/>
      <w:marTop w:val="0"/>
      <w:marBottom w:val="0"/>
      <w:divBdr>
        <w:top w:val="none" w:sz="0" w:space="0" w:color="auto"/>
        <w:left w:val="none" w:sz="0" w:space="0" w:color="auto"/>
        <w:bottom w:val="none" w:sz="0" w:space="0" w:color="auto"/>
        <w:right w:val="none" w:sz="0" w:space="0" w:color="auto"/>
      </w:divBdr>
    </w:div>
    <w:div w:id="18854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852</Words>
  <Characters>4427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PROJETO DE LEI N</vt:lpstr>
    </vt:vector>
  </TitlesOfParts>
  <Company>Home</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creator>.</dc:creator>
  <cp:lastModifiedBy>Recepção-PC</cp:lastModifiedBy>
  <cp:revision>17</cp:revision>
  <cp:lastPrinted>2024-03-26T11:18:00Z</cp:lastPrinted>
  <dcterms:created xsi:type="dcterms:W3CDTF">2023-07-13T14:06:00Z</dcterms:created>
  <dcterms:modified xsi:type="dcterms:W3CDTF">2024-03-26T11:19:00Z</dcterms:modified>
</cp:coreProperties>
</file>